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BA3743">
        <w:rPr>
          <w:rFonts w:ascii="Palatino Linotype" w:hAnsi="Palatino Linotype" w:cs="Arial"/>
          <w:b/>
          <w:sz w:val="24"/>
          <w:szCs w:val="24"/>
        </w:rPr>
        <w:t>0</w:t>
      </w:r>
      <w:r w:rsidR="00C74552">
        <w:rPr>
          <w:rFonts w:ascii="Palatino Linotype" w:hAnsi="Palatino Linotype" w:cs="Arial"/>
          <w:b/>
          <w:sz w:val="24"/>
          <w:szCs w:val="24"/>
        </w:rPr>
        <w:t>2897</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3C7244">
      <w:pPr>
        <w:spacing w:after="0" w:line="276"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7879C6">
      <w:pPr>
        <w:spacing w:after="0" w:line="360" w:lineRule="auto"/>
        <w:jc w:val="both"/>
        <w:rPr>
          <w:rFonts w:ascii="Palatino Linotype" w:hAnsi="Palatino Linotype" w:cs="Arial"/>
          <w:sz w:val="24"/>
          <w:szCs w:val="24"/>
        </w:rPr>
      </w:pPr>
    </w:p>
    <w:p w:rsidR="0046491C" w:rsidRPr="00072966"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7879C6">
      <w:pPr>
        <w:spacing w:after="0" w:line="360" w:lineRule="auto"/>
        <w:jc w:val="both"/>
        <w:rPr>
          <w:rFonts w:ascii="Palatino Linotype" w:hAnsi="Palatino Linotype" w:cs="Arial"/>
          <w:sz w:val="24"/>
          <w:szCs w:val="24"/>
        </w:rPr>
      </w:pPr>
    </w:p>
    <w:p w:rsidR="0046491C" w:rsidRPr="00072966"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7879C6">
      <w:pPr>
        <w:spacing w:after="0" w:line="360" w:lineRule="auto"/>
        <w:jc w:val="both"/>
        <w:rPr>
          <w:rFonts w:ascii="Palatino Linotype" w:hAnsi="Palatino Linotype" w:cs="Arial"/>
          <w:sz w:val="24"/>
          <w:szCs w:val="24"/>
        </w:rPr>
      </w:pPr>
    </w:p>
    <w:p w:rsidR="003C7244"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Pr>
          <w:rFonts w:ascii="Palatino Linotype" w:hAnsi="Palatino Linotype" w:cs="Arial"/>
          <w:sz w:val="24"/>
          <w:szCs w:val="24"/>
        </w:rPr>
        <w:t xml:space="preserve">; además </w:t>
      </w:r>
      <w:r w:rsidRPr="00072966">
        <w:rPr>
          <w:rFonts w:ascii="Palatino Linotype" w:hAnsi="Palatino Linotype" w:cs="Arial"/>
          <w:sz w:val="24"/>
          <w:szCs w:val="24"/>
        </w:rPr>
        <w:t>tienen el deber que tienen dentro del margen de sus atribuciones, de prevenir violaciones a los derechos fundamentales.</w:t>
      </w:r>
    </w:p>
    <w:p w:rsidR="003C7244" w:rsidRDefault="003C7244" w:rsidP="003C7244">
      <w:pPr>
        <w:spacing w:after="0" w:line="276" w:lineRule="auto"/>
        <w:jc w:val="both"/>
        <w:rPr>
          <w:rFonts w:ascii="Palatino Linotype" w:hAnsi="Palatino Linotype" w:cs="Arial"/>
          <w:sz w:val="24"/>
          <w:szCs w:val="24"/>
        </w:rPr>
      </w:pPr>
    </w:p>
    <w:p w:rsidR="002C0734" w:rsidRDefault="002C0734"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Pr="00072966" w:rsidRDefault="00DC63EE" w:rsidP="003C7244">
      <w:pPr>
        <w:spacing w:after="0" w:line="276" w:lineRule="auto"/>
        <w:jc w:val="both"/>
        <w:rPr>
          <w:rFonts w:ascii="Palatino Linotype" w:hAnsi="Palatino Linotype" w:cs="Arial"/>
          <w:sz w:val="24"/>
          <w:szCs w:val="24"/>
        </w:rPr>
      </w:pPr>
    </w:p>
    <w:p w:rsidR="0046491C" w:rsidRPr="003C7244" w:rsidRDefault="0046491C" w:rsidP="00E34F08">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7A52A8"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6179296" w:history="1">
            <w:r w:rsidR="007A52A8" w:rsidRPr="00CC0446">
              <w:rPr>
                <w:rStyle w:val="Hipervnculo"/>
                <w:rFonts w:ascii="Palatino Linotype" w:hAnsi="Palatino Linotype"/>
                <w:b/>
                <w:noProof/>
              </w:rPr>
              <w:t>I.</w:t>
            </w:r>
            <w:r w:rsidR="007A52A8">
              <w:rPr>
                <w:rFonts w:eastAsiaTheme="minorEastAsia"/>
                <w:noProof/>
                <w:lang w:eastAsia="es-MX"/>
              </w:rPr>
              <w:tab/>
            </w:r>
            <w:r w:rsidR="007A52A8" w:rsidRPr="00CC0446">
              <w:rPr>
                <w:rStyle w:val="Hipervnculo"/>
                <w:rFonts w:ascii="Palatino Linotype" w:hAnsi="Palatino Linotype"/>
                <w:b/>
                <w:noProof/>
              </w:rPr>
              <w:t>Consideraciones Generales.</w:t>
            </w:r>
            <w:r w:rsidR="007A52A8">
              <w:rPr>
                <w:noProof/>
                <w:webHidden/>
              </w:rPr>
              <w:tab/>
            </w:r>
            <w:r w:rsidR="007A52A8">
              <w:rPr>
                <w:noProof/>
                <w:webHidden/>
              </w:rPr>
              <w:fldChar w:fldCharType="begin"/>
            </w:r>
            <w:r w:rsidR="007A52A8">
              <w:rPr>
                <w:noProof/>
                <w:webHidden/>
              </w:rPr>
              <w:instrText xml:space="preserve"> PAGEREF _Toc526179296 \h </w:instrText>
            </w:r>
            <w:r w:rsidR="007A52A8">
              <w:rPr>
                <w:noProof/>
                <w:webHidden/>
              </w:rPr>
            </w:r>
            <w:r w:rsidR="007A52A8">
              <w:rPr>
                <w:noProof/>
                <w:webHidden/>
              </w:rPr>
              <w:fldChar w:fldCharType="separate"/>
            </w:r>
            <w:r w:rsidR="007A52A8">
              <w:rPr>
                <w:noProof/>
                <w:webHidden/>
              </w:rPr>
              <w:t>2</w:t>
            </w:r>
            <w:r w:rsidR="007A52A8">
              <w:rPr>
                <w:noProof/>
                <w:webHidden/>
              </w:rPr>
              <w:fldChar w:fldCharType="end"/>
            </w:r>
          </w:hyperlink>
        </w:p>
        <w:p w:rsidR="007A52A8" w:rsidRDefault="004F3553">
          <w:pPr>
            <w:pStyle w:val="TDC1"/>
            <w:rPr>
              <w:rFonts w:eastAsiaTheme="minorEastAsia"/>
              <w:noProof/>
              <w:lang w:eastAsia="es-MX"/>
            </w:rPr>
          </w:pPr>
          <w:hyperlink w:anchor="_Toc526179297" w:history="1">
            <w:r w:rsidR="007A52A8" w:rsidRPr="00CC0446">
              <w:rPr>
                <w:rStyle w:val="Hipervnculo"/>
                <w:rFonts w:ascii="Palatino Linotype" w:hAnsi="Palatino Linotype"/>
                <w:b/>
                <w:noProof/>
              </w:rPr>
              <w:t>II.</w:t>
            </w:r>
            <w:r w:rsidR="007A52A8">
              <w:rPr>
                <w:rFonts w:eastAsiaTheme="minorEastAsia"/>
                <w:noProof/>
                <w:lang w:eastAsia="es-MX"/>
              </w:rPr>
              <w:tab/>
            </w:r>
            <w:r w:rsidR="007A52A8" w:rsidRPr="00CC0446">
              <w:rPr>
                <w:rStyle w:val="Hipervnculo"/>
                <w:rFonts w:ascii="Palatino Linotype" w:hAnsi="Palatino Linotype"/>
                <w:b/>
                <w:noProof/>
              </w:rPr>
              <w:t>De los requerimientos planteados en el recurso de revisión.</w:t>
            </w:r>
            <w:r w:rsidR="007A52A8">
              <w:rPr>
                <w:noProof/>
                <w:webHidden/>
              </w:rPr>
              <w:tab/>
            </w:r>
            <w:r w:rsidR="007A52A8">
              <w:rPr>
                <w:noProof/>
                <w:webHidden/>
              </w:rPr>
              <w:fldChar w:fldCharType="begin"/>
            </w:r>
            <w:r w:rsidR="007A52A8">
              <w:rPr>
                <w:noProof/>
                <w:webHidden/>
              </w:rPr>
              <w:instrText xml:space="preserve"> PAGEREF _Toc526179297 \h </w:instrText>
            </w:r>
            <w:r w:rsidR="007A52A8">
              <w:rPr>
                <w:noProof/>
                <w:webHidden/>
              </w:rPr>
            </w:r>
            <w:r w:rsidR="007A52A8">
              <w:rPr>
                <w:noProof/>
                <w:webHidden/>
              </w:rPr>
              <w:fldChar w:fldCharType="separate"/>
            </w:r>
            <w:r w:rsidR="007A52A8">
              <w:rPr>
                <w:noProof/>
                <w:webHidden/>
              </w:rPr>
              <w:t>3</w:t>
            </w:r>
            <w:r w:rsidR="007A52A8">
              <w:rPr>
                <w:noProof/>
                <w:webHidden/>
              </w:rPr>
              <w:fldChar w:fldCharType="end"/>
            </w:r>
          </w:hyperlink>
        </w:p>
        <w:p w:rsidR="007A52A8" w:rsidRDefault="004F3553">
          <w:pPr>
            <w:pStyle w:val="TDC1"/>
            <w:rPr>
              <w:rFonts w:eastAsiaTheme="minorEastAsia"/>
              <w:noProof/>
              <w:lang w:eastAsia="es-MX"/>
            </w:rPr>
          </w:pPr>
          <w:hyperlink w:anchor="_Toc526179298" w:history="1">
            <w:r w:rsidR="007A52A8" w:rsidRPr="00CC0446">
              <w:rPr>
                <w:rStyle w:val="Hipervnculo"/>
                <w:rFonts w:ascii="Palatino Linotype" w:hAnsi="Palatino Linotype"/>
                <w:b/>
                <w:noProof/>
              </w:rPr>
              <w:t>III.</w:t>
            </w:r>
            <w:r w:rsidR="007A52A8">
              <w:rPr>
                <w:rFonts w:eastAsiaTheme="minorEastAsia"/>
                <w:noProof/>
                <w:lang w:eastAsia="es-MX"/>
              </w:rPr>
              <w:tab/>
            </w:r>
            <w:r w:rsidR="007A52A8" w:rsidRPr="00CC0446">
              <w:rPr>
                <w:rStyle w:val="Hipervnculo"/>
                <w:rFonts w:ascii="Palatino Linotype" w:hAnsi="Palatino Linotype"/>
                <w:b/>
                <w:noProof/>
              </w:rPr>
              <w:t>Los actos consentidos no deben invocarse en el derecho fundamental de acceder a la información pública gubernamental.</w:t>
            </w:r>
            <w:r w:rsidR="007A52A8">
              <w:rPr>
                <w:noProof/>
                <w:webHidden/>
              </w:rPr>
              <w:tab/>
            </w:r>
            <w:r w:rsidR="007A52A8">
              <w:rPr>
                <w:noProof/>
                <w:webHidden/>
              </w:rPr>
              <w:fldChar w:fldCharType="begin"/>
            </w:r>
            <w:r w:rsidR="007A52A8">
              <w:rPr>
                <w:noProof/>
                <w:webHidden/>
              </w:rPr>
              <w:instrText xml:space="preserve"> PAGEREF _Toc526179298 \h </w:instrText>
            </w:r>
            <w:r w:rsidR="007A52A8">
              <w:rPr>
                <w:noProof/>
                <w:webHidden/>
              </w:rPr>
            </w:r>
            <w:r w:rsidR="007A52A8">
              <w:rPr>
                <w:noProof/>
                <w:webHidden/>
              </w:rPr>
              <w:fldChar w:fldCharType="separate"/>
            </w:r>
            <w:r w:rsidR="007A52A8">
              <w:rPr>
                <w:noProof/>
                <w:webHidden/>
              </w:rPr>
              <w:t>7</w:t>
            </w:r>
            <w:r w:rsidR="007A52A8">
              <w:rPr>
                <w:noProof/>
                <w:webHidden/>
              </w:rPr>
              <w:fldChar w:fldCharType="end"/>
            </w:r>
          </w:hyperlink>
        </w:p>
        <w:p w:rsidR="003C7244" w:rsidRPr="007A52A8" w:rsidRDefault="0046491C" w:rsidP="007A52A8">
          <w:pPr>
            <w:spacing w:line="360" w:lineRule="auto"/>
            <w:rPr>
              <w:rFonts w:ascii="Palatino Linotype" w:hAnsi="Palatino Linotype"/>
            </w:rPr>
          </w:pPr>
          <w:r w:rsidRPr="00072966">
            <w:rPr>
              <w:rFonts w:ascii="Palatino Linotype" w:hAnsi="Palatino Linotype"/>
              <w:b/>
              <w:bCs/>
              <w:lang w:val="es-ES"/>
            </w:rPr>
            <w:fldChar w:fldCharType="end"/>
          </w:r>
        </w:p>
      </w:sdtContent>
    </w:sdt>
    <w:p w:rsidR="003C7244" w:rsidRDefault="003C7244" w:rsidP="003C7244"/>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6179296"/>
      <w:r w:rsidRPr="00072966">
        <w:rPr>
          <w:rFonts w:ascii="Palatino Linotype" w:hAnsi="Palatino Linotype"/>
          <w:b/>
          <w:color w:val="auto"/>
          <w:sz w:val="24"/>
          <w:szCs w:val="24"/>
        </w:rPr>
        <w:t>Consideraciones Generales.</w:t>
      </w:r>
      <w:bookmarkEnd w:id="0"/>
    </w:p>
    <w:p w:rsidR="0046491C" w:rsidRPr="00072966" w:rsidRDefault="0046491C" w:rsidP="00DF7B12">
      <w:pPr>
        <w:pStyle w:val="Prrafodelista"/>
        <w:spacing w:after="0" w:line="240" w:lineRule="auto"/>
        <w:ind w:left="1080"/>
        <w:jc w:val="both"/>
        <w:rPr>
          <w:rFonts w:ascii="Palatino Linotype" w:hAnsi="Palatino Linotype" w:cs="Arial"/>
          <w:b/>
          <w:sz w:val="24"/>
          <w:szCs w:val="24"/>
        </w:rPr>
      </w:pPr>
    </w:p>
    <w:p w:rsidR="0046491C" w:rsidRPr="00072966" w:rsidRDefault="0046491C" w:rsidP="0072058F">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7879C6">
        <w:rPr>
          <w:rFonts w:ascii="Palatino Linotype" w:hAnsi="Palatino Linotype" w:cs="Arial"/>
          <w:sz w:val="24"/>
          <w:szCs w:val="24"/>
        </w:rPr>
        <w:t>Trigésima Quinta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7879C6">
        <w:rPr>
          <w:rFonts w:ascii="Palatino Linotype" w:hAnsi="Palatino Linotype" w:cs="Arial"/>
          <w:sz w:val="24"/>
          <w:szCs w:val="24"/>
        </w:rPr>
        <w:t>veintiséis (26) de septiembre</w:t>
      </w:r>
      <w:r w:rsidR="00F86F9B" w:rsidRPr="005A15E9">
        <w:rPr>
          <w:rFonts w:ascii="Palatino Linotype" w:hAnsi="Palatino Linotype" w:cs="Arial"/>
          <w:sz w:val="24"/>
          <w:szCs w:val="24"/>
        </w:rPr>
        <w:t xml:space="preserv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4F3553" w:rsidRPr="004F3553">
        <w:rPr>
          <w:rFonts w:ascii="Palatino Linotype" w:hAnsi="Palatino Linotype" w:cs="Arial"/>
          <w:b/>
          <w:sz w:val="24"/>
          <w:szCs w:val="24"/>
          <w:highlight w:val="black"/>
        </w:rPr>
        <w:t>------------------------------------------------</w:t>
      </w:r>
      <w:bookmarkStart w:id="1" w:name="_GoBack"/>
      <w:bookmarkEnd w:id="1"/>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Pr="005A15E9">
        <w:rPr>
          <w:rFonts w:ascii="Palatino Linotype" w:hAnsi="Palatino Linotype" w:cs="Arial"/>
          <w:sz w:val="24"/>
          <w:szCs w:val="24"/>
        </w:rPr>
        <w:t xml:space="preserve">en contra de la respuesta del </w:t>
      </w:r>
      <w:r w:rsidR="0072058F" w:rsidRPr="0072058F">
        <w:rPr>
          <w:rFonts w:ascii="Palatino Linotype" w:eastAsia="Calibri" w:hAnsi="Palatino Linotype" w:cs="Times New Roman"/>
          <w:b/>
          <w:sz w:val="24"/>
          <w:szCs w:val="24"/>
          <w:lang w:eastAsia="es-ES"/>
        </w:rPr>
        <w:t xml:space="preserve">Instituto de Seguridad Social del Estado de México y Municipios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72058F">
        <w:rPr>
          <w:rFonts w:ascii="Palatino Linotype" w:eastAsia="Times New Roman" w:hAnsi="Palatino Linotype" w:cs="Arial"/>
          <w:b/>
          <w:bCs/>
          <w:sz w:val="24"/>
          <w:szCs w:val="24"/>
          <w:lang w:eastAsia="es-ES"/>
        </w:rPr>
        <w:t>2897</w:t>
      </w:r>
      <w:r w:rsidR="00C7250F" w:rsidRPr="005A15E9">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616B05" w:rsidRPr="0006605E" w:rsidRDefault="00C7250F" w:rsidP="00BF43E0">
      <w:pPr>
        <w:pStyle w:val="Prrafodelista"/>
        <w:numPr>
          <w:ilvl w:val="0"/>
          <w:numId w:val="1"/>
        </w:numPr>
        <w:spacing w:before="240" w:after="0" w:line="360" w:lineRule="auto"/>
        <w:ind w:right="49"/>
        <w:jc w:val="both"/>
        <w:rPr>
          <w:rFonts w:ascii="Palatino Linotype" w:hAnsi="Palatino Linotype" w:cs="Arial"/>
        </w:rPr>
      </w:pPr>
      <w:r w:rsidRPr="00DD7C56">
        <w:rPr>
          <w:rFonts w:ascii="Palatino Linotype" w:hAnsi="Palatino Linotype" w:cs="Arial"/>
          <w:sz w:val="24"/>
          <w:szCs w:val="24"/>
        </w:rPr>
        <w:lastRenderedPageBreak/>
        <w:t>El sentido de la Resolución determin</w:t>
      </w:r>
      <w:r w:rsidR="00BF43E0">
        <w:rPr>
          <w:rFonts w:ascii="Palatino Linotype" w:hAnsi="Palatino Linotype" w:cs="Arial"/>
          <w:sz w:val="24"/>
          <w:szCs w:val="24"/>
        </w:rPr>
        <w:t xml:space="preserve">ó </w:t>
      </w:r>
      <w:r w:rsidR="00BF43E0" w:rsidRPr="00BF43E0">
        <w:rPr>
          <w:rFonts w:ascii="Palatino Linotype" w:hAnsi="Palatino Linotype" w:cs="Arial"/>
          <w:b/>
          <w:bCs/>
        </w:rPr>
        <w:t>SOBRESEE</w:t>
      </w:r>
      <w:r w:rsidR="00BF43E0">
        <w:rPr>
          <w:rFonts w:ascii="Palatino Linotype" w:hAnsi="Palatino Linotype" w:cs="Arial"/>
          <w:b/>
          <w:bCs/>
        </w:rPr>
        <w:t>R</w:t>
      </w:r>
      <w:r w:rsidR="00BF43E0" w:rsidRPr="00BF43E0">
        <w:rPr>
          <w:rFonts w:ascii="Palatino Linotype" w:hAnsi="Palatino Linotype" w:cs="Arial"/>
          <w:bCs/>
        </w:rPr>
        <w:t xml:space="preserve"> el recurso de revisión </w:t>
      </w:r>
      <w:r w:rsidR="00BF43E0" w:rsidRPr="00BF43E0">
        <w:rPr>
          <w:rFonts w:ascii="Palatino Linotype" w:hAnsi="Palatino Linotype"/>
          <w:lang w:val="es-ES_tradnl"/>
        </w:rPr>
        <w:t>porque al modificar la respuesta el recurs</w:t>
      </w:r>
      <w:r w:rsidR="0006605E">
        <w:rPr>
          <w:rFonts w:ascii="Palatino Linotype" w:hAnsi="Palatino Linotype"/>
          <w:lang w:val="es-ES_tradnl"/>
        </w:rPr>
        <w:t>o de revisión quedó sin materia.</w:t>
      </w:r>
    </w:p>
    <w:p w:rsidR="0006605E" w:rsidRPr="00BF43E0" w:rsidRDefault="0006605E" w:rsidP="00DF7B12">
      <w:pPr>
        <w:pStyle w:val="Prrafodelista"/>
        <w:spacing w:before="240" w:after="0" w:line="240" w:lineRule="auto"/>
        <w:ind w:left="360" w:right="49"/>
        <w:jc w:val="both"/>
        <w:rPr>
          <w:rFonts w:ascii="Palatino Linotype" w:hAnsi="Palatino Linotype" w:cs="Arial"/>
        </w:rPr>
      </w:pPr>
    </w:p>
    <w:p w:rsidR="0046491C" w:rsidRDefault="000B7C6E" w:rsidP="007A378A">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S</w:t>
      </w:r>
      <w:r w:rsidR="00C7250F" w:rsidRPr="00072966">
        <w:rPr>
          <w:rFonts w:ascii="Palatino Linotype" w:hAnsi="Palatino Linotype" w:cs="Arial"/>
          <w:sz w:val="24"/>
          <w:szCs w:val="24"/>
        </w:rPr>
        <w:t>in embargo, m</w:t>
      </w:r>
      <w:r w:rsidR="0046491C" w:rsidRPr="00072966">
        <w:rPr>
          <w:rFonts w:ascii="Palatino Linotype" w:hAnsi="Palatino Linotype" w:cs="Arial"/>
          <w:sz w:val="24"/>
          <w:szCs w:val="24"/>
        </w:rPr>
        <w:t xml:space="preserve">i </w:t>
      </w:r>
      <w:r w:rsidR="00D33AF9" w:rsidRPr="00072966">
        <w:rPr>
          <w:rFonts w:ascii="Palatino Linotype" w:hAnsi="Palatino Linotype" w:cs="Arial"/>
          <w:sz w:val="24"/>
          <w:szCs w:val="24"/>
        </w:rPr>
        <w:t>voto</w:t>
      </w:r>
      <w:r w:rsidR="0046491C" w:rsidRPr="00072966">
        <w:rPr>
          <w:rFonts w:ascii="Palatino Linotype" w:hAnsi="Palatino Linotype" w:cs="Arial"/>
          <w:sz w:val="24"/>
          <w:szCs w:val="24"/>
        </w:rPr>
        <w:t xml:space="preserve"> particular se deriva del hecho de que se haya invocado la figura de actos consentidos en el presente asunto</w:t>
      </w:r>
      <w:r w:rsidR="00616B05">
        <w:rPr>
          <w:rFonts w:ascii="Palatino Linotype" w:hAnsi="Palatino Linotype" w:cs="Arial"/>
          <w:sz w:val="24"/>
          <w:szCs w:val="24"/>
        </w:rPr>
        <w:t xml:space="preserve"> así como del pronunciamiento simple</w:t>
      </w:r>
      <w:r w:rsidR="0046491C" w:rsidRPr="00072966">
        <w:rPr>
          <w:rFonts w:ascii="Palatino Linotype" w:hAnsi="Palatino Linotype" w:cs="Arial"/>
          <w:sz w:val="24"/>
          <w:szCs w:val="24"/>
        </w:rPr>
        <w:t>, resultando del todo innecesario hacer referencia a dicha figura, lo cual he manifestado en diversas ocasiones señalando que no deben invocarse en el derecho de acceso a la información pública.</w:t>
      </w:r>
    </w:p>
    <w:p w:rsidR="008A3D2D" w:rsidRPr="00072966" w:rsidRDefault="008A3D2D" w:rsidP="00DF7B12">
      <w:pPr>
        <w:pStyle w:val="Prrafodelista"/>
        <w:spacing w:before="240" w:after="0" w:line="240" w:lineRule="auto"/>
        <w:ind w:left="360" w:right="49"/>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2" w:name="_Toc526179297"/>
      <w:r w:rsidRPr="00072966">
        <w:rPr>
          <w:rFonts w:ascii="Palatino Linotype" w:hAnsi="Palatino Linotype"/>
          <w:b/>
          <w:color w:val="auto"/>
          <w:sz w:val="24"/>
          <w:szCs w:val="24"/>
        </w:rPr>
        <w:t>De los requerimientos planteados en el recurso de revisión.</w:t>
      </w:r>
      <w:bookmarkEnd w:id="2"/>
    </w:p>
    <w:p w:rsidR="0046491C" w:rsidRPr="008D57F6" w:rsidRDefault="0046491C" w:rsidP="008D57F6">
      <w:pPr>
        <w:pStyle w:val="Prrafodelista"/>
        <w:spacing w:line="240" w:lineRule="auto"/>
        <w:ind w:left="1080"/>
        <w:jc w:val="both"/>
        <w:rPr>
          <w:rFonts w:ascii="Palatino Linotype" w:hAnsi="Palatino Linotype" w:cs="Arial"/>
          <w:sz w:val="14"/>
          <w:szCs w:val="24"/>
        </w:rPr>
      </w:pPr>
    </w:p>
    <w:p w:rsidR="00DF6665" w:rsidRPr="00DF6665" w:rsidRDefault="005D79D3"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La</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8A3D2D" w:rsidRDefault="005D79D3" w:rsidP="007A52A8">
      <w:pPr>
        <w:pStyle w:val="Prrafodelista"/>
        <w:autoSpaceDE w:val="0"/>
        <w:autoSpaceDN w:val="0"/>
        <w:adjustRightInd w:val="0"/>
        <w:spacing w:after="0" w:line="240" w:lineRule="auto"/>
        <w:ind w:left="992" w:right="760"/>
        <w:contextualSpacing w:val="0"/>
        <w:jc w:val="both"/>
        <w:rPr>
          <w:rFonts w:ascii="Palatino Linotype" w:hAnsi="Palatino Linotype"/>
          <w:i/>
          <w:color w:val="000000"/>
        </w:rPr>
      </w:pPr>
      <w:r w:rsidRPr="005D79D3">
        <w:rPr>
          <w:rFonts w:ascii="Palatino Linotype" w:hAnsi="Palatino Linotype"/>
          <w:i/>
          <w:color w:val="000000"/>
        </w:rPr>
        <w:t>“Me interesa saber cuáles fueron las reformas a la ley del ISSEMYM del año 2002, en materia de pensiones, así como el o los artículos en que vienen estipuladas dichas modificaciones, adicional; requiero conocer cuáles han sido las reformas que se han realizado a la ley del ISSEMY posteriores al ejercicio 2002, por último, necesito información respecto de la reforma actual a la Ley, adjuntando la nueva ley y su reglamento.” (Sic)</w:t>
      </w:r>
    </w:p>
    <w:p w:rsidR="005D79D3" w:rsidRPr="00DF6665" w:rsidRDefault="005D79D3" w:rsidP="008D57F6">
      <w:pPr>
        <w:pStyle w:val="Prrafodelista"/>
        <w:autoSpaceDE w:val="0"/>
        <w:autoSpaceDN w:val="0"/>
        <w:adjustRightInd w:val="0"/>
        <w:spacing w:after="0" w:line="240" w:lineRule="auto"/>
        <w:ind w:left="993" w:right="758"/>
        <w:contextualSpacing w:val="0"/>
        <w:jc w:val="both"/>
        <w:rPr>
          <w:rFonts w:ascii="Palatino Linotype" w:hAnsi="Palatino Linotype"/>
          <w:i/>
          <w:color w:val="000000"/>
        </w:rPr>
      </w:pPr>
    </w:p>
    <w:p w:rsidR="00C44341" w:rsidRPr="00C44341" w:rsidRDefault="00AE4797" w:rsidP="00C44341">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42345D">
        <w:rPr>
          <w:rFonts w:ascii="Palatino Linotype" w:hAnsi="Palatino Linotype" w:cs="Arial"/>
          <w:sz w:val="24"/>
          <w:szCs w:val="24"/>
        </w:rPr>
        <w:t xml:space="preserve">El Sujeto Obligado </w:t>
      </w:r>
      <w:r w:rsidR="00C7250F" w:rsidRPr="0042345D">
        <w:rPr>
          <w:rFonts w:ascii="Palatino Linotype" w:hAnsi="Palatino Linotype" w:cs="Arial"/>
          <w:sz w:val="24"/>
          <w:szCs w:val="24"/>
        </w:rPr>
        <w:t>en respuesta</w:t>
      </w:r>
      <w:r w:rsidR="00746812">
        <w:rPr>
          <w:rFonts w:ascii="Palatino Linotype" w:hAnsi="Palatino Linotype" w:cs="Arial"/>
          <w:sz w:val="24"/>
          <w:szCs w:val="24"/>
        </w:rPr>
        <w:t xml:space="preserve"> señal</w:t>
      </w:r>
      <w:r w:rsidR="0040354A">
        <w:rPr>
          <w:rFonts w:ascii="Palatino Linotype" w:hAnsi="Palatino Linotype" w:cs="Arial"/>
          <w:sz w:val="24"/>
          <w:szCs w:val="24"/>
        </w:rPr>
        <w:t>ó</w:t>
      </w:r>
      <w:r w:rsidR="00C44341">
        <w:rPr>
          <w:rFonts w:ascii="Palatino Linotype" w:hAnsi="Palatino Linotype" w:cs="Arial"/>
          <w:sz w:val="24"/>
          <w:szCs w:val="24"/>
        </w:rPr>
        <w:t xml:space="preserve"> </w:t>
      </w:r>
      <w:r w:rsidR="00C44341" w:rsidRPr="00C44341">
        <w:rPr>
          <w:rFonts w:ascii="Palatino Linotype" w:hAnsi="Palatino Linotype" w:cs="Arial"/>
          <w:sz w:val="24"/>
          <w:szCs w:val="24"/>
        </w:rPr>
        <w:t>las reformas que ha tenido la ley del ISSEMYM del año 2002, en materia de pensiones, y por cuanto hace a la reforma del año 2018 señaló en link en donde se encuentra la información requerida.</w:t>
      </w:r>
    </w:p>
    <w:p w:rsidR="00C44341" w:rsidRPr="005D79D3" w:rsidRDefault="00C44341" w:rsidP="00DF7B12">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8D57F6" w:rsidRDefault="0046491C" w:rsidP="005527D5">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lastRenderedPageBreak/>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C44341">
        <w:rPr>
          <w:rFonts w:ascii="Palatino Linotype" w:hAnsi="Palatino Linotype" w:cs="Arial"/>
          <w:sz w:val="24"/>
          <w:szCs w:val="24"/>
        </w:rPr>
        <w:t>la</w:t>
      </w:r>
      <w:r w:rsidR="00AE4797" w:rsidRPr="0095525C">
        <w:rPr>
          <w:rFonts w:ascii="Palatino Linotype" w:hAnsi="Palatino Linotype" w:cs="Arial"/>
          <w:sz w:val="24"/>
          <w:szCs w:val="24"/>
        </w:rPr>
        <w:t xml:space="preserve"> particular 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como acto impugnado: “</w:t>
      </w:r>
      <w:r w:rsidR="005527D5" w:rsidRPr="005527D5">
        <w:rPr>
          <w:rFonts w:ascii="Palatino Linotype" w:hAnsi="Palatino Linotype" w:cs="Arial"/>
          <w:i/>
          <w:sz w:val="24"/>
          <w:szCs w:val="24"/>
        </w:rPr>
        <w:t>No puedo accesar a la normatividad mediante la liga estipulada</w:t>
      </w:r>
      <w:r w:rsidR="00EA711B">
        <w:rPr>
          <w:rFonts w:ascii="Palatino Linotype" w:hAnsi="Palatino Linotype" w:cs="Arial"/>
          <w:i/>
          <w:sz w:val="24"/>
          <w:szCs w:val="24"/>
        </w:rPr>
        <w:t>.”</w:t>
      </w:r>
      <w:r w:rsidR="0095525C" w:rsidRPr="00A54D9D">
        <w:rPr>
          <w:rFonts w:ascii="Palatino Linotype" w:hAnsi="Palatino Linotype" w:cs="Arial"/>
          <w:i/>
          <w:sz w:val="24"/>
          <w:szCs w:val="24"/>
          <w:lang w:val="es-ES"/>
        </w:rPr>
        <w:t>(Sic)</w:t>
      </w:r>
      <w:r w:rsidR="0095525C" w:rsidRPr="0095525C">
        <w:rPr>
          <w:rFonts w:ascii="Palatino Linotype" w:hAnsi="Palatino Linotype" w:cs="Arial"/>
          <w:sz w:val="24"/>
          <w:szCs w:val="24"/>
        </w:rPr>
        <w:t xml:space="preserve"> y como motivo de inconformidad: </w:t>
      </w:r>
      <w:r w:rsidR="00AD16A9" w:rsidRPr="00AD16A9">
        <w:rPr>
          <w:rFonts w:ascii="Palatino Linotype" w:hAnsi="Palatino Linotype" w:cs="Arial"/>
          <w:i/>
          <w:sz w:val="24"/>
          <w:szCs w:val="24"/>
        </w:rPr>
        <w:t>“</w:t>
      </w:r>
      <w:r w:rsidR="005527D5" w:rsidRPr="005527D5">
        <w:rPr>
          <w:rFonts w:ascii="Palatino Linotype" w:hAnsi="Palatino Linotype" w:cs="Arial"/>
          <w:i/>
          <w:sz w:val="24"/>
          <w:szCs w:val="24"/>
          <w:lang w:val="es-ES"/>
        </w:rPr>
        <w:t>No puedo accesar a la página de la normatividad solicitada, por lo que es necesario remitan ley y reglamento de la Ley del ISSEMYM, correspondiente a la reforma del presente año. “(Sic)</w:t>
      </w:r>
      <w:r w:rsidR="005527D5">
        <w:rPr>
          <w:rFonts w:ascii="Palatino Linotype" w:hAnsi="Palatino Linotype" w:cs="Arial"/>
          <w:i/>
          <w:sz w:val="24"/>
          <w:szCs w:val="24"/>
          <w:lang w:val="es-ES"/>
        </w:rPr>
        <w:t xml:space="preserve">, ajuntando un archivo </w:t>
      </w:r>
      <w:r w:rsidR="007343BB">
        <w:rPr>
          <w:rFonts w:ascii="Palatino Linotype" w:hAnsi="Palatino Linotype" w:cs="Arial"/>
          <w:i/>
          <w:sz w:val="24"/>
          <w:szCs w:val="24"/>
          <w:lang w:val="es-ES"/>
        </w:rPr>
        <w:t>el cual consiste en</w:t>
      </w:r>
      <w:r w:rsidR="008D57F6">
        <w:rPr>
          <w:rFonts w:ascii="Palatino Linotype" w:hAnsi="Palatino Linotype" w:cs="Arial"/>
          <w:i/>
          <w:sz w:val="24"/>
          <w:szCs w:val="24"/>
          <w:lang w:val="es-ES"/>
        </w:rPr>
        <w:t>:</w:t>
      </w:r>
    </w:p>
    <w:p w:rsidR="005527D5" w:rsidRPr="005527D5" w:rsidRDefault="008D57F6" w:rsidP="00DF7B12">
      <w:pPr>
        <w:pStyle w:val="Prrafodelista"/>
        <w:spacing w:before="240" w:after="0" w:line="360" w:lineRule="auto"/>
        <w:ind w:left="0" w:right="49"/>
        <w:jc w:val="center"/>
        <w:rPr>
          <w:rFonts w:ascii="Palatino Linotype" w:hAnsi="Palatino Linotype" w:cs="Arial"/>
          <w:i/>
          <w:sz w:val="24"/>
          <w:szCs w:val="24"/>
          <w:lang w:val="es-ES"/>
        </w:rPr>
      </w:pPr>
      <w:r w:rsidRPr="005E7CFC">
        <w:rPr>
          <w:noProof/>
          <w:lang w:eastAsia="es-MX"/>
        </w:rPr>
        <w:drawing>
          <wp:inline distT="0" distB="0" distL="0" distR="0" wp14:anchorId="5F712C18" wp14:editId="13B56FFD">
            <wp:extent cx="3518952" cy="1632857"/>
            <wp:effectExtent l="0" t="0" r="5715"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46" t="8980" r="35446" b="34662"/>
                    <a:stretch/>
                  </pic:blipFill>
                  <pic:spPr bwMode="auto">
                    <a:xfrm>
                      <a:off x="0" y="0"/>
                      <a:ext cx="3620663" cy="1680053"/>
                    </a:xfrm>
                    <a:prstGeom prst="rect">
                      <a:avLst/>
                    </a:prstGeom>
                    <a:ln>
                      <a:noFill/>
                    </a:ln>
                    <a:extLst>
                      <a:ext uri="{53640926-AAD7-44D8-BBD7-CCE9431645EC}">
                        <a14:shadowObscured xmlns:a14="http://schemas.microsoft.com/office/drawing/2010/main"/>
                      </a:ext>
                    </a:extLst>
                  </pic:spPr>
                </pic:pic>
              </a:graphicData>
            </a:graphic>
          </wp:inline>
        </w:drawing>
      </w:r>
    </w:p>
    <w:p w:rsidR="0046491C" w:rsidRPr="00746812" w:rsidRDefault="00B56CFE" w:rsidP="0095525C">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E</w:t>
      </w:r>
      <w:r w:rsidR="0046491C" w:rsidRPr="00746812">
        <w:rPr>
          <w:rFonts w:ascii="Palatino Linotype" w:hAnsi="Palatino Linotype" w:cs="Arial"/>
          <w:sz w:val="24"/>
          <w:szCs w:val="24"/>
        </w:rPr>
        <w:t xml:space="preserve">s de </w:t>
      </w:r>
      <w:r w:rsidR="0046491C" w:rsidRPr="0095525C">
        <w:rPr>
          <w:rFonts w:ascii="Palatino Linotype" w:eastAsia="Times New Roman" w:hAnsi="Palatino Linotype" w:cs="Times New Roman"/>
          <w:color w:val="000000"/>
          <w:sz w:val="24"/>
          <w:szCs w:val="24"/>
          <w:lang w:val="es-ES" w:eastAsia="es-ES"/>
        </w:rPr>
        <w:t>destacar</w:t>
      </w:r>
      <w:r>
        <w:rPr>
          <w:rFonts w:ascii="Palatino Linotype" w:hAnsi="Palatino Linotype" w:cs="Arial"/>
          <w:sz w:val="24"/>
          <w:szCs w:val="24"/>
        </w:rPr>
        <w:t xml:space="preserve"> </w:t>
      </w:r>
      <w:r w:rsidR="00AE4797" w:rsidRPr="00746812">
        <w:rPr>
          <w:rFonts w:ascii="Palatino Linotype" w:hAnsi="Palatino Linotype" w:cs="Arial"/>
          <w:sz w:val="24"/>
          <w:szCs w:val="24"/>
        </w:rPr>
        <w:t>que</w:t>
      </w:r>
      <w:r>
        <w:rPr>
          <w:rFonts w:ascii="Palatino Linotype" w:hAnsi="Palatino Linotype" w:cs="Arial"/>
          <w:sz w:val="24"/>
          <w:szCs w:val="24"/>
        </w:rPr>
        <w:t xml:space="preserve"> </w:t>
      </w:r>
      <w:r w:rsidR="0046491C" w:rsidRPr="00746812">
        <w:rPr>
          <w:rFonts w:ascii="Palatino Linotype" w:hAnsi="Palatino Linotype" w:cs="Arial"/>
          <w:sz w:val="24"/>
          <w:szCs w:val="24"/>
        </w:rPr>
        <w:t xml:space="preserve">en el estudio y desarrollo de dicha resolución fueron invocados los llamados </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actos consentidos</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 tal y como se observa en las siguientes líneas de la resolución en comento:</w:t>
      </w:r>
    </w:p>
    <w:p w:rsidR="00B56CFE" w:rsidRPr="00B56CFE" w:rsidRDefault="0069498B" w:rsidP="007A52A8">
      <w:pPr>
        <w:spacing w:before="240" w:after="240" w:line="240" w:lineRule="auto"/>
        <w:ind w:left="567" w:right="618"/>
        <w:jc w:val="both"/>
        <w:rPr>
          <w:rFonts w:ascii="Palatino Linotype" w:hAnsi="Palatino Linotype" w:cs="Arial"/>
          <w:i/>
        </w:rPr>
      </w:pPr>
      <w:r w:rsidRPr="00072966">
        <w:rPr>
          <w:rFonts w:ascii="Palatino Linotype" w:hAnsi="Palatino Linotype" w:cs="Arial"/>
          <w:i/>
        </w:rPr>
        <w:t>“</w:t>
      </w:r>
      <w:r w:rsidR="00B56CFE" w:rsidRPr="00B56CFE">
        <w:rPr>
          <w:rFonts w:ascii="Palatino Linotype" w:hAnsi="Palatino Linotype" w:cs="Arial"/>
          <w:i/>
        </w:rPr>
        <w:t xml:space="preserve">Primeramente, es de considerar que LA RECURRENTE no impugnó toda la información proporcionada por parte del SUJETO OBLIGADO, en la respuesta, ya que sólo se inconformó respecto de que no podía acceder a la liga proporcionada por EL SUJETO OBLIGADO por tal motivo, la respuesta, respecto a los rubros no combatidos y que sí fueron atendidos por EL SUJETO OBLIGADO, quedan firmes ante la falta de impugnación en específico, pues se entiende que LA RECURRENTE ésta conforme con la información entregada al no contravenir la misma.  </w:t>
      </w:r>
    </w:p>
    <w:p w:rsidR="00B56CFE" w:rsidRPr="00B56CFE" w:rsidRDefault="00B56CFE" w:rsidP="007A52A8">
      <w:pPr>
        <w:spacing w:before="240" w:after="240" w:line="240" w:lineRule="auto"/>
        <w:ind w:left="567" w:right="618"/>
        <w:jc w:val="both"/>
        <w:rPr>
          <w:rFonts w:ascii="Palatino Linotype" w:hAnsi="Palatino Linotype" w:cs="Arial"/>
          <w:i/>
        </w:rPr>
      </w:pPr>
      <w:r w:rsidRPr="00B56CFE">
        <w:rPr>
          <w:rFonts w:ascii="Palatino Linotype" w:hAnsi="Palatino Linotype" w:cs="Arial"/>
          <w:i/>
        </w:rPr>
        <w:t>Sirve de sustento a lo anterior, por analogía la tesis jurisprudencial número VI.3o.C. J/60, publicada en el Semanario Judicial de la Federación y su Gaceta bajo el número de registro 176,608 que a la letra dice:</w:t>
      </w:r>
    </w:p>
    <w:p w:rsidR="00B56CFE" w:rsidRPr="00B56CFE" w:rsidRDefault="00B56CFE" w:rsidP="007A52A8">
      <w:pPr>
        <w:spacing w:before="240" w:after="240" w:line="240" w:lineRule="auto"/>
        <w:ind w:left="567" w:right="618"/>
        <w:jc w:val="both"/>
        <w:rPr>
          <w:rFonts w:ascii="Palatino Linotype" w:hAnsi="Palatino Linotype" w:cs="Arial"/>
          <w:i/>
        </w:rPr>
      </w:pPr>
      <w:r w:rsidRPr="00B56CFE">
        <w:rPr>
          <w:rFonts w:ascii="Palatino Linotype" w:hAnsi="Palatino Linotype" w:cs="Arial"/>
          <w:i/>
        </w:rPr>
        <w:t xml:space="preserve"> “ACTOS CONSENTIDOS. SON LOS QUE NO SE IMPUGNAN MEDIANTE EL RECURSO IDÓNEO. Debe reputarse como consentido el acto que no se impugnó por </w:t>
      </w:r>
      <w:r w:rsidRPr="00B56CFE">
        <w:rPr>
          <w:rFonts w:ascii="Palatino Linotype" w:hAnsi="Palatino Linotype" w:cs="Arial"/>
          <w:i/>
        </w:rPr>
        <w:lastRenderedPageBreak/>
        <w:t>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B56CFE" w:rsidRPr="00B56CFE" w:rsidRDefault="00B56CFE" w:rsidP="007A52A8">
      <w:pPr>
        <w:spacing w:before="240" w:after="240" w:line="240" w:lineRule="auto"/>
        <w:ind w:left="567" w:right="618"/>
        <w:jc w:val="both"/>
        <w:rPr>
          <w:rFonts w:ascii="Palatino Linotype" w:hAnsi="Palatino Linotype" w:cs="Arial"/>
          <w:i/>
        </w:rPr>
      </w:pPr>
      <w:r w:rsidRPr="00B56CFE">
        <w:rPr>
          <w:rFonts w:ascii="Palatino Linotype" w:hAnsi="Palatino Linotype" w:cs="Arial"/>
          <w:i/>
        </w:rPr>
        <w:t xml:space="preserve"> Lo anterior es así, debido a que, cuando LA RECURRENTE impugnó la respuesta del SUJETO OBLIGADO, no expresó razón o motivo de inconformidad en contra de las reformas a la citada Ley del ISSEMYM en materia de pensiones, dichos rubros deben declararse atendidos, pues se entiende que la particular está conforme con la información entregada al no contravenir la misma.</w:t>
      </w:r>
    </w:p>
    <w:p w:rsidR="00B56CFE" w:rsidRPr="00B56CFE" w:rsidRDefault="00B56CFE" w:rsidP="007A52A8">
      <w:pPr>
        <w:spacing w:before="240" w:after="240" w:line="240" w:lineRule="auto"/>
        <w:ind w:left="567" w:right="618"/>
        <w:jc w:val="both"/>
        <w:rPr>
          <w:rFonts w:ascii="Palatino Linotype" w:hAnsi="Palatino Linotype" w:cs="Arial"/>
          <w:i/>
        </w:rPr>
      </w:pPr>
      <w:r w:rsidRPr="00B56CFE">
        <w:rPr>
          <w:rFonts w:ascii="Palatino Linotype" w:hAnsi="Palatino Linotype" w:cs="Arial"/>
          <w:i/>
        </w:rPr>
        <w:t>Consecuentemente, la parte de la respuesta que no fue impugnada debe declararse consentida por LA RECURRENTE, toda vez que no realizó manifestaciones de inconformidad; por lo que, no pueden producirse efectos jurídicos tendentes a revocar, confirmar o modificar el acto reclamado ya que se infiere su consentimiento ante la falta de impugnación eficaz.</w:t>
      </w:r>
    </w:p>
    <w:p w:rsidR="00B56CFE" w:rsidRPr="00B56CFE" w:rsidRDefault="00B56CFE" w:rsidP="007A52A8">
      <w:pPr>
        <w:spacing w:before="240" w:after="240" w:line="240" w:lineRule="auto"/>
        <w:ind w:left="567" w:right="618"/>
        <w:jc w:val="both"/>
        <w:rPr>
          <w:rFonts w:ascii="Palatino Linotype" w:hAnsi="Palatino Linotype" w:cs="Arial"/>
          <w:i/>
        </w:rPr>
      </w:pPr>
      <w:r w:rsidRPr="00B56CFE">
        <w:rPr>
          <w:rFonts w:ascii="Palatino Linotype" w:hAnsi="Palatino Linotype" w:cs="Arial"/>
          <w:i/>
        </w:rPr>
        <w:t>Sirve de apoyo a lo anterior, por analogía, la Tesis Jurisprudencial Número 3ª./J.7/91, Publicada en el Semanario Judicial de la Federación y su Gaceta bajo el número de registro 174,177, que establece lo siguiente:</w:t>
      </w:r>
    </w:p>
    <w:p w:rsidR="00B56CFE" w:rsidRDefault="00B56CFE" w:rsidP="007A52A8">
      <w:pPr>
        <w:spacing w:before="240" w:after="240" w:line="240" w:lineRule="auto"/>
        <w:ind w:left="567" w:right="618"/>
        <w:jc w:val="both"/>
        <w:rPr>
          <w:rFonts w:ascii="Palatino Linotype" w:hAnsi="Palatino Linotype" w:cs="Arial"/>
          <w:i/>
        </w:rPr>
      </w:pPr>
      <w:r w:rsidRPr="00B56CFE">
        <w:rPr>
          <w:rFonts w:ascii="Palatino Linotype" w:hAnsi="Palatino Linotype" w:cs="Arial"/>
          <w:i/>
        </w:rPr>
        <w:t xml:space="preserve"> “REVISIÓN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w:t>
      </w:r>
      <w:r>
        <w:rPr>
          <w:rFonts w:ascii="Palatino Linotype" w:hAnsi="Palatino Linotype" w:cs="Arial"/>
          <w:i/>
        </w:rPr>
        <w:t xml:space="preserve">e correspondiente.” </w:t>
      </w:r>
    </w:p>
    <w:p w:rsidR="00AD16A9" w:rsidRPr="00AD16A9" w:rsidRDefault="00B56CFE" w:rsidP="00DF7B12">
      <w:pPr>
        <w:spacing w:before="240" w:after="0" w:line="360" w:lineRule="auto"/>
        <w:ind w:left="567" w:right="616"/>
        <w:jc w:val="both"/>
        <w:rPr>
          <w:rFonts w:ascii="Palatino Linotype" w:hAnsi="Palatino Linotype" w:cs="Arial"/>
          <w:i/>
          <w:lang w:val="es-ES"/>
        </w:rPr>
      </w:pPr>
      <w:r>
        <w:rPr>
          <w:rFonts w:ascii="Palatino Linotype" w:hAnsi="Palatino Linotype" w:cs="Arial"/>
          <w:i/>
          <w:lang w:val="es-ES"/>
        </w:rPr>
        <w:t>.</w:t>
      </w:r>
      <w:r w:rsidR="00987663" w:rsidRPr="00987663">
        <w:rPr>
          <w:rFonts w:ascii="Palatino Linotype" w:hAnsi="Palatino Linotype" w:cs="Arial"/>
          <w:i/>
          <w:lang w:val="es-ES"/>
        </w:rPr>
        <w:t>.</w:t>
      </w:r>
      <w:r w:rsidR="00FD4693" w:rsidRPr="00FD4693">
        <w:rPr>
          <w:rFonts w:ascii="Palatino Linotype" w:hAnsi="Palatino Linotype" w:cs="Arial"/>
          <w:i/>
          <w:lang w:val="es-ES"/>
        </w:rPr>
        <w:t>.”</w:t>
      </w:r>
    </w:p>
    <w:p w:rsidR="0095525C" w:rsidRDefault="0046491C" w:rsidP="00DF7B12">
      <w:pPr>
        <w:pStyle w:val="Prrafodelista"/>
        <w:numPr>
          <w:ilvl w:val="0"/>
          <w:numId w:val="1"/>
        </w:numPr>
        <w:spacing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Derivado de </w:t>
      </w:r>
      <w:r w:rsidRPr="00546812">
        <w:rPr>
          <w:rFonts w:ascii="Palatino Linotype" w:eastAsia="Times New Roman" w:hAnsi="Palatino Linotype" w:cs="Times New Roman"/>
          <w:color w:val="000000"/>
          <w:sz w:val="24"/>
          <w:szCs w:val="24"/>
          <w:lang w:val="es-ES" w:eastAsia="es-ES"/>
        </w:rPr>
        <w:t>lo</w:t>
      </w:r>
      <w:r w:rsidRPr="00546812">
        <w:rPr>
          <w:rFonts w:ascii="Palatino Linotype" w:hAnsi="Palatino Linotype" w:cs="Arial"/>
          <w:sz w:val="24"/>
          <w:szCs w:val="24"/>
        </w:rPr>
        <w:t xml:space="preserve"> transcrito con anterioridad, considero que la</w:t>
      </w:r>
      <w:r w:rsidR="00260D6C" w:rsidRPr="00546812">
        <w:rPr>
          <w:rFonts w:ascii="Palatino Linotype" w:hAnsi="Palatino Linotype" w:cs="Arial"/>
          <w:sz w:val="24"/>
          <w:szCs w:val="24"/>
        </w:rPr>
        <w:t xml:space="preserve"> incorporación de dicho argumento</w:t>
      </w:r>
      <w:r w:rsidRPr="00546812">
        <w:rPr>
          <w:rFonts w:ascii="Palatino Linotype" w:hAnsi="Palatino Linotype" w:cs="Arial"/>
          <w:sz w:val="24"/>
          <w:szCs w:val="24"/>
        </w:rPr>
        <w:t xml:space="preserve"> en la resolución en comento resulta a todas luces innecesari</w:t>
      </w:r>
      <w:r w:rsidR="00E61AB8" w:rsidRPr="00546812">
        <w:rPr>
          <w:rFonts w:ascii="Palatino Linotype" w:hAnsi="Palatino Linotype" w:cs="Arial"/>
          <w:sz w:val="24"/>
          <w:szCs w:val="24"/>
        </w:rPr>
        <w:t xml:space="preserve">o y además no da </w:t>
      </w:r>
      <w:r w:rsidRPr="00546812">
        <w:rPr>
          <w:rFonts w:ascii="Palatino Linotype" w:hAnsi="Palatino Linotype" w:cs="Arial"/>
          <w:sz w:val="24"/>
          <w:szCs w:val="24"/>
        </w:rPr>
        <w:t xml:space="preserve">lugar a invocarlos en el derecho humano fundamental de acceder a la información pública gubernamental. Por lo que la mayoría consideró que la </w:t>
      </w:r>
      <w:r w:rsidRPr="00546812">
        <w:rPr>
          <w:rFonts w:ascii="Palatino Linotype" w:hAnsi="Palatino Linotype" w:cs="Arial"/>
          <w:sz w:val="24"/>
          <w:szCs w:val="24"/>
        </w:rPr>
        <w:lastRenderedPageBreak/>
        <w:t xml:space="preserve">respuesta quedó firme ante la falta de impugnación respecto al resto de los requerimientos que no fueron manifestados en el recurso de revisión. </w:t>
      </w:r>
    </w:p>
    <w:p w:rsidR="00FD4693" w:rsidRPr="00546812" w:rsidRDefault="00FD4693" w:rsidP="00DF7B12">
      <w:pPr>
        <w:pStyle w:val="Prrafodelista"/>
        <w:spacing w:before="240" w:after="0" w:line="240" w:lineRule="auto"/>
        <w:ind w:left="360" w:right="49"/>
        <w:jc w:val="both"/>
        <w:rPr>
          <w:rFonts w:ascii="Palatino Linotype" w:hAnsi="Palatino Linotype" w:cs="Arial"/>
          <w:sz w:val="24"/>
          <w:szCs w:val="24"/>
        </w:rPr>
      </w:pPr>
    </w:p>
    <w:p w:rsidR="0046491C" w:rsidRDefault="0046491C" w:rsidP="00D26D87">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sidRPr="00300B98">
        <w:rPr>
          <w:rFonts w:ascii="Palatino Linotype" w:hAnsi="Palatino Linotype" w:cs="Arial"/>
          <w:sz w:val="24"/>
          <w:szCs w:val="24"/>
        </w:rPr>
        <w:t>En el presente asunto, es de señalar que del análisis hecho a la resolución en comento</w:t>
      </w:r>
      <w:r w:rsidRPr="00300B98">
        <w:rPr>
          <w:rFonts w:ascii="Palatino Linotype" w:eastAsia="Calibri" w:hAnsi="Palatino Linotype" w:cs="Times New Roman"/>
          <w:sz w:val="24"/>
          <w:szCs w:val="24"/>
          <w:lang w:val="es-ES" w:eastAsia="es-ES"/>
        </w:rPr>
        <w:t xml:space="preserve">, no se discute que el </w:t>
      </w:r>
      <w:r w:rsidRPr="00300B98">
        <w:rPr>
          <w:rFonts w:ascii="Palatino Linotype" w:eastAsia="Calibri" w:hAnsi="Palatino Linotype" w:cs="Times New Roman"/>
          <w:b/>
          <w:sz w:val="24"/>
          <w:szCs w:val="24"/>
          <w:lang w:val="es-ES" w:eastAsia="es-ES"/>
        </w:rPr>
        <w:t>SUJETO OBLIGADO</w:t>
      </w:r>
      <w:r w:rsidRPr="00300B98">
        <w:rPr>
          <w:rFonts w:ascii="Palatino Linotype" w:eastAsia="Calibri" w:hAnsi="Palatino Linotype" w:cs="Times New Roman"/>
          <w:sz w:val="24"/>
          <w:szCs w:val="24"/>
          <w:lang w:val="es-ES" w:eastAsia="es-ES"/>
        </w:rPr>
        <w:t xml:space="preserve"> ha dado respuesta a la solicitud de información</w:t>
      </w:r>
      <w:r w:rsidR="00260D6C" w:rsidRPr="00300B98">
        <w:rPr>
          <w:rFonts w:ascii="Palatino Linotype" w:eastAsia="Calibri" w:hAnsi="Palatino Linotype" w:cs="Times New Roman"/>
          <w:sz w:val="24"/>
          <w:szCs w:val="24"/>
          <w:lang w:val="es-ES" w:eastAsia="es-ES"/>
        </w:rPr>
        <w:t xml:space="preserve"> en lo particular</w:t>
      </w:r>
      <w:r w:rsidRPr="00300B98">
        <w:rPr>
          <w:rFonts w:ascii="Palatino Linotype" w:eastAsia="Calibri" w:hAnsi="Palatino Linotype" w:cs="Times New Roman"/>
          <w:sz w:val="24"/>
          <w:szCs w:val="24"/>
          <w:lang w:val="es-ES" w:eastAsia="es-ES"/>
        </w:rPr>
        <w:t>, t</w:t>
      </w:r>
      <w:r w:rsidR="00260D6C" w:rsidRPr="00300B98">
        <w:rPr>
          <w:rFonts w:ascii="Palatino Linotype" w:eastAsia="Calibri" w:hAnsi="Palatino Linotype" w:cs="Times New Roman"/>
          <w:sz w:val="24"/>
          <w:szCs w:val="24"/>
          <w:lang w:val="es-ES" w:eastAsia="es-ES"/>
        </w:rPr>
        <w:t>an es así que al analizar la respuesta emitida se concluyó que colmó</w:t>
      </w:r>
      <w:r w:rsidR="00546812" w:rsidRPr="00300B98">
        <w:rPr>
          <w:rFonts w:ascii="Palatino Linotype" w:eastAsia="Calibri" w:hAnsi="Palatino Linotype" w:cs="Times New Roman"/>
          <w:sz w:val="24"/>
          <w:szCs w:val="24"/>
          <w:lang w:val="es-ES" w:eastAsia="es-ES"/>
        </w:rPr>
        <w:t xml:space="preserve"> parcialmente</w:t>
      </w:r>
      <w:r w:rsidR="00260D6C" w:rsidRPr="00300B98">
        <w:rPr>
          <w:rFonts w:ascii="Palatino Linotype" w:eastAsia="Calibri" w:hAnsi="Palatino Linotype" w:cs="Times New Roman"/>
          <w:sz w:val="24"/>
          <w:szCs w:val="24"/>
          <w:lang w:val="es-ES" w:eastAsia="es-ES"/>
        </w:rPr>
        <w:t xml:space="preserve"> con </w:t>
      </w:r>
      <w:r w:rsidRPr="00300B98">
        <w:rPr>
          <w:rFonts w:ascii="Palatino Linotype" w:eastAsia="Calibri" w:hAnsi="Palatino Linotype" w:cs="Times New Roman"/>
          <w:sz w:val="24"/>
          <w:szCs w:val="24"/>
          <w:lang w:val="es-ES" w:eastAsia="es-ES"/>
        </w:rPr>
        <w:t>el derecho de acceso a la información</w:t>
      </w:r>
      <w:r w:rsidR="002372DA" w:rsidRPr="00300B98">
        <w:rPr>
          <w:rFonts w:ascii="Palatino Linotype" w:eastAsia="Calibri" w:hAnsi="Palatino Linotype" w:cs="Times New Roman"/>
          <w:sz w:val="24"/>
          <w:szCs w:val="24"/>
          <w:lang w:val="es-ES" w:eastAsia="es-ES"/>
        </w:rPr>
        <w:t xml:space="preserve">, toda vez que en primera instancia, </w:t>
      </w:r>
      <w:r w:rsidR="000810AB" w:rsidRPr="00300B98">
        <w:rPr>
          <w:rFonts w:ascii="Palatino Linotype" w:eastAsia="Calibri" w:hAnsi="Palatino Linotype" w:cs="Times New Roman"/>
          <w:sz w:val="24"/>
          <w:szCs w:val="24"/>
          <w:lang w:val="es-ES" w:eastAsia="es-ES"/>
        </w:rPr>
        <w:t xml:space="preserve">indicó </w:t>
      </w:r>
      <w:r w:rsidR="00D26D87" w:rsidRPr="00D26D87">
        <w:rPr>
          <w:rFonts w:ascii="Palatino Linotype" w:eastAsia="Calibri" w:hAnsi="Palatino Linotype" w:cs="Times New Roman"/>
          <w:sz w:val="24"/>
          <w:szCs w:val="24"/>
          <w:lang w:val="es-ES" w:eastAsia="es-ES"/>
        </w:rPr>
        <w:t xml:space="preserve">las reformas que ha tenido la </w:t>
      </w:r>
      <w:r w:rsidR="007E3EA9" w:rsidRPr="00D26D87">
        <w:rPr>
          <w:rFonts w:ascii="Palatino Linotype" w:eastAsia="Calibri" w:hAnsi="Palatino Linotype" w:cs="Times New Roman"/>
          <w:sz w:val="24"/>
          <w:szCs w:val="24"/>
          <w:lang w:val="es-ES" w:eastAsia="es-ES"/>
        </w:rPr>
        <w:t xml:space="preserve">Ley </w:t>
      </w:r>
      <w:r w:rsidR="00D26D87" w:rsidRPr="00D26D87">
        <w:rPr>
          <w:rFonts w:ascii="Palatino Linotype" w:eastAsia="Calibri" w:hAnsi="Palatino Linotype" w:cs="Times New Roman"/>
          <w:sz w:val="24"/>
          <w:szCs w:val="24"/>
          <w:lang w:val="es-ES" w:eastAsia="es-ES"/>
        </w:rPr>
        <w:t>del ISSEMYM del año 2002, en materia de pensiones y</w:t>
      </w:r>
      <w:r w:rsidR="00A80A1A">
        <w:rPr>
          <w:rFonts w:ascii="Palatino Linotype" w:eastAsia="Calibri" w:hAnsi="Palatino Linotype" w:cs="Times New Roman"/>
          <w:sz w:val="24"/>
          <w:szCs w:val="24"/>
          <w:lang w:val="es-ES" w:eastAsia="es-ES"/>
        </w:rPr>
        <w:t>,</w:t>
      </w:r>
      <w:r w:rsidR="00D26D87" w:rsidRPr="00D26D87">
        <w:rPr>
          <w:rFonts w:ascii="Palatino Linotype" w:eastAsia="Calibri" w:hAnsi="Palatino Linotype" w:cs="Times New Roman"/>
          <w:sz w:val="24"/>
          <w:szCs w:val="24"/>
          <w:lang w:val="es-ES" w:eastAsia="es-ES"/>
        </w:rPr>
        <w:t xml:space="preserve"> por cuanto hace a la reforma del año 2018 señaló en link en donde se encuentra la información requerida</w:t>
      </w:r>
      <w:r w:rsidR="00300B98" w:rsidRPr="00300B98">
        <w:rPr>
          <w:rFonts w:ascii="Palatino Linotype" w:eastAsia="Calibri" w:hAnsi="Palatino Linotype" w:cs="Times New Roman"/>
          <w:sz w:val="24"/>
          <w:szCs w:val="24"/>
          <w:lang w:val="es-ES" w:eastAsia="es-ES"/>
        </w:rPr>
        <w:t xml:space="preserve">; </w:t>
      </w:r>
      <w:r w:rsidR="00EC772B" w:rsidRPr="00300B98">
        <w:rPr>
          <w:rFonts w:ascii="Palatino Linotype" w:eastAsia="Calibri" w:hAnsi="Palatino Linotype" w:cs="Times New Roman"/>
          <w:sz w:val="24"/>
          <w:szCs w:val="24"/>
          <w:lang w:val="es-ES" w:eastAsia="es-ES"/>
        </w:rPr>
        <w:t xml:space="preserve">por </w:t>
      </w:r>
      <w:r w:rsidR="00260D6C" w:rsidRPr="00300B98">
        <w:rPr>
          <w:rFonts w:ascii="Palatino Linotype" w:eastAsia="Calibri" w:hAnsi="Palatino Linotype" w:cs="Times New Roman"/>
          <w:sz w:val="24"/>
          <w:szCs w:val="24"/>
          <w:lang w:val="es-ES" w:eastAsia="es-ES"/>
        </w:rPr>
        <w:t xml:space="preserve">lo que en mi parecer </w:t>
      </w:r>
      <w:r w:rsidRPr="00300B98">
        <w:rPr>
          <w:rFonts w:ascii="Palatino Linotype" w:eastAsia="Calibri" w:hAnsi="Palatino Linotype" w:cs="Times New Roman"/>
          <w:sz w:val="24"/>
          <w:szCs w:val="24"/>
          <w:lang w:val="es-ES" w:eastAsia="es-ES"/>
        </w:rPr>
        <w:t>considero, es innecesario señalar</w:t>
      </w:r>
      <w:r w:rsidR="00194B6A" w:rsidRPr="00300B98">
        <w:rPr>
          <w:rFonts w:ascii="Palatino Linotype" w:eastAsia="Calibri" w:hAnsi="Palatino Linotype" w:cs="Times New Roman"/>
          <w:sz w:val="24"/>
          <w:szCs w:val="24"/>
          <w:lang w:val="es-ES" w:eastAsia="es-ES"/>
        </w:rPr>
        <w:t xml:space="preserve"> la figura de actos consentidos, éste </w:t>
      </w:r>
      <w:r w:rsidR="00EC772B" w:rsidRPr="00300B98">
        <w:rPr>
          <w:rFonts w:ascii="Palatino Linotype" w:eastAsia="Calibri" w:hAnsi="Palatino Linotype" w:cs="Times New Roman"/>
          <w:sz w:val="24"/>
          <w:szCs w:val="24"/>
          <w:lang w:val="es-ES" w:eastAsia="es-ES"/>
        </w:rPr>
        <w:t xml:space="preserve">Instituto </w:t>
      </w:r>
      <w:r w:rsidR="00194B6A" w:rsidRPr="00300B98">
        <w:rPr>
          <w:rFonts w:ascii="Palatino Linotype" w:eastAsia="Calibri" w:hAnsi="Palatino Linotype" w:cs="Times New Roman"/>
          <w:sz w:val="24"/>
          <w:szCs w:val="24"/>
          <w:lang w:val="es-ES" w:eastAsia="es-ES"/>
        </w:rPr>
        <w:t xml:space="preserve">como </w:t>
      </w:r>
      <w:r w:rsidR="00EC772B" w:rsidRPr="00300B98">
        <w:rPr>
          <w:rFonts w:ascii="Palatino Linotype" w:eastAsia="Calibri" w:hAnsi="Palatino Linotype" w:cs="Times New Roman"/>
          <w:sz w:val="24"/>
          <w:szCs w:val="24"/>
          <w:lang w:val="es-ES" w:eastAsia="es-ES"/>
        </w:rPr>
        <w:t>Órgano Garante</w:t>
      </w:r>
      <w:r w:rsidR="00194B6A" w:rsidRPr="00300B98">
        <w:rPr>
          <w:rFonts w:ascii="Palatino Linotype" w:eastAsia="Calibri" w:hAnsi="Palatino Linotype" w:cs="Times New Roman"/>
          <w:sz w:val="24"/>
          <w:szCs w:val="24"/>
          <w:lang w:val="es-ES" w:eastAsia="es-ES"/>
        </w:rPr>
        <w:t>,</w:t>
      </w:r>
      <w:r w:rsidR="00EC772B" w:rsidRPr="00300B98">
        <w:rPr>
          <w:rFonts w:ascii="Palatino Linotype" w:eastAsia="Calibri" w:hAnsi="Palatino Linotype" w:cs="Times New Roman"/>
          <w:sz w:val="24"/>
          <w:szCs w:val="24"/>
          <w:lang w:val="es-ES" w:eastAsia="es-ES"/>
        </w:rPr>
        <w:t xml:space="preserve"> toda vez que</w:t>
      </w:r>
      <w:r w:rsidR="00194B6A" w:rsidRPr="00300B98">
        <w:rPr>
          <w:rFonts w:ascii="Palatino Linotype" w:eastAsia="Calibri" w:hAnsi="Palatino Linotype" w:cs="Times New Roman"/>
          <w:sz w:val="24"/>
          <w:szCs w:val="24"/>
          <w:lang w:val="es-ES" w:eastAsia="es-ES"/>
        </w:rPr>
        <w:t xml:space="preserve"> es su deber velar por el cabal cumplimiento al derecho humano</w:t>
      </w:r>
      <w:r w:rsidR="00A54D9D" w:rsidRPr="00300B98">
        <w:rPr>
          <w:rFonts w:ascii="Palatino Linotype" w:eastAsia="Calibri" w:hAnsi="Palatino Linotype" w:cs="Times New Roman"/>
          <w:sz w:val="24"/>
          <w:szCs w:val="24"/>
          <w:lang w:val="es-ES" w:eastAsia="es-ES"/>
        </w:rPr>
        <w:t xml:space="preserve"> del acceso a la información, má</w:t>
      </w:r>
      <w:r w:rsidR="00194B6A" w:rsidRPr="00300B98">
        <w:rPr>
          <w:rFonts w:ascii="Palatino Linotype" w:eastAsia="Calibri" w:hAnsi="Palatino Linotype" w:cs="Times New Roman"/>
          <w:sz w:val="24"/>
          <w:szCs w:val="24"/>
          <w:lang w:val="es-ES" w:eastAsia="es-ES"/>
        </w:rPr>
        <w:t>s no limita</w:t>
      </w:r>
      <w:r w:rsidR="0001046D" w:rsidRPr="00300B98">
        <w:rPr>
          <w:rFonts w:ascii="Palatino Linotype" w:eastAsia="Calibri" w:hAnsi="Palatino Linotype" w:cs="Times New Roman"/>
          <w:sz w:val="24"/>
          <w:szCs w:val="24"/>
          <w:lang w:val="es-ES" w:eastAsia="es-ES"/>
        </w:rPr>
        <w:t>rlo invocando el multicitado argumento de</w:t>
      </w:r>
      <w:r w:rsidR="00194B6A" w:rsidRPr="00300B98">
        <w:rPr>
          <w:rFonts w:ascii="Palatino Linotype" w:eastAsia="Calibri" w:hAnsi="Palatino Linotype" w:cs="Times New Roman"/>
          <w:sz w:val="24"/>
          <w:szCs w:val="24"/>
          <w:lang w:val="es-ES" w:eastAsia="es-ES"/>
        </w:rPr>
        <w:t xml:space="preserve"> actos consentidos.</w:t>
      </w:r>
    </w:p>
    <w:p w:rsidR="00A80A1A" w:rsidRPr="00A80A1A" w:rsidRDefault="00A80A1A" w:rsidP="00DF7B12">
      <w:pPr>
        <w:pStyle w:val="Prrafodelista"/>
        <w:spacing w:line="240" w:lineRule="auto"/>
        <w:rPr>
          <w:rFonts w:ascii="Palatino Linotype" w:eastAsia="Calibri" w:hAnsi="Palatino Linotype" w:cs="Times New Roman"/>
          <w:sz w:val="24"/>
          <w:szCs w:val="24"/>
          <w:lang w:val="es-ES" w:eastAsia="es-ES"/>
        </w:rPr>
      </w:pPr>
    </w:p>
    <w:p w:rsidR="00DF7B12" w:rsidRPr="00DF7B12" w:rsidRDefault="00A80A1A" w:rsidP="00DF7B12">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Ya que el </w:t>
      </w:r>
      <w:r w:rsidRPr="00300B98">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en su </w:t>
      </w:r>
      <w:r w:rsidRPr="00A80A1A">
        <w:rPr>
          <w:rFonts w:ascii="Palatino Linotype" w:eastAsia="Calibri" w:hAnsi="Palatino Linotype" w:cs="Times New Roman"/>
          <w:sz w:val="24"/>
          <w:szCs w:val="24"/>
          <w:lang w:val="es-ES" w:eastAsia="es-ES"/>
        </w:rPr>
        <w:t>Informe Justificado remitió el ordenamiento requerido por la particular, es decir, la Ley de Seguridad Social para los Servidores Públicos del Estado de México y Municipios</w:t>
      </w:r>
      <w:r w:rsidR="00DF7B12">
        <w:rPr>
          <w:rFonts w:ascii="Palatino Linotype" w:eastAsia="Calibri" w:hAnsi="Palatino Linotype" w:cs="Times New Roman"/>
          <w:sz w:val="24"/>
          <w:szCs w:val="24"/>
          <w:lang w:val="es-ES" w:eastAsia="es-ES"/>
        </w:rPr>
        <w:t xml:space="preserve"> y con ello </w:t>
      </w:r>
      <w:r w:rsidR="00DF7B12" w:rsidRPr="00DF7B12">
        <w:rPr>
          <w:rFonts w:ascii="Palatino Linotype" w:eastAsia="Calibri" w:hAnsi="Palatino Linotype" w:cs="Times New Roman"/>
          <w:sz w:val="24"/>
          <w:szCs w:val="24"/>
          <w:lang w:val="es-ES" w:eastAsia="es-ES"/>
        </w:rPr>
        <w:t>se actualizan las causales de sobreseimiento previstas en el artículo 192, fracciones III y V de la Ley de Transparencia y Acceso a la Información Pública del Estado de México y Municipios</w:t>
      </w:r>
      <w:r w:rsidR="00DF7B12">
        <w:rPr>
          <w:rFonts w:ascii="Palatino Linotype" w:eastAsia="Calibri" w:hAnsi="Palatino Linotype" w:cs="Times New Roman"/>
          <w:sz w:val="24"/>
          <w:szCs w:val="24"/>
          <w:lang w:val="es-ES" w:eastAsia="es-ES"/>
        </w:rPr>
        <w:t>.</w:t>
      </w:r>
    </w:p>
    <w:p w:rsidR="0046491C" w:rsidRPr="00DF7B12" w:rsidRDefault="0046491C" w:rsidP="00DF7B12">
      <w:pPr>
        <w:pStyle w:val="Ttulo1"/>
        <w:numPr>
          <w:ilvl w:val="0"/>
          <w:numId w:val="12"/>
        </w:numPr>
        <w:spacing w:line="360" w:lineRule="auto"/>
        <w:rPr>
          <w:rFonts w:ascii="Palatino Linotype" w:hAnsi="Palatino Linotype"/>
          <w:b/>
          <w:color w:val="auto"/>
          <w:sz w:val="24"/>
          <w:szCs w:val="24"/>
        </w:rPr>
      </w:pPr>
      <w:bookmarkStart w:id="3" w:name="_Toc526179298"/>
      <w:r w:rsidRPr="00DF7B12">
        <w:rPr>
          <w:rFonts w:ascii="Palatino Linotype" w:hAnsi="Palatino Linotype"/>
          <w:b/>
          <w:color w:val="auto"/>
          <w:sz w:val="24"/>
          <w:szCs w:val="24"/>
        </w:rPr>
        <w:lastRenderedPageBreak/>
        <w:t>Los actos consentidos no deben invocarse en el derecho fundamental de acceder a la información pública gubernamental.</w:t>
      </w:r>
      <w:bookmarkEnd w:id="3"/>
    </w:p>
    <w:p w:rsidR="0046491C" w:rsidRPr="00DF7B12" w:rsidRDefault="0046491C" w:rsidP="00DF7B12">
      <w:pPr>
        <w:pStyle w:val="Prrafodelista"/>
        <w:spacing w:after="0" w:line="240" w:lineRule="auto"/>
        <w:ind w:left="1080"/>
        <w:jc w:val="both"/>
        <w:rPr>
          <w:rFonts w:ascii="Palatino Linotype" w:hAnsi="Palatino Linotype" w:cs="Arial"/>
          <w:b/>
          <w:sz w:val="14"/>
          <w:szCs w:val="24"/>
        </w:rPr>
      </w:pPr>
    </w:p>
    <w:p w:rsidR="009C43B4"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eastAsia="Calibri" w:hAnsi="Palatino Linotype" w:cs="Times New Roman"/>
          <w:sz w:val="24"/>
          <w:szCs w:val="24"/>
          <w:lang w:val="es-ES" w:eastAsia="es-ES"/>
        </w:rPr>
        <w:t>En</w:t>
      </w:r>
      <w:r w:rsidRPr="00546812">
        <w:rPr>
          <w:rFonts w:ascii="Palatino Linotype" w:hAnsi="Palatino Linotype" w:cs="Arial"/>
          <w:sz w:val="24"/>
          <w:szCs w:val="24"/>
        </w:rPr>
        <w:t xml:space="preserve"> la resolución se precisa, un criterio </w:t>
      </w:r>
      <w:r w:rsidR="00260D6C" w:rsidRPr="00546812">
        <w:rPr>
          <w:rFonts w:ascii="Palatino Linotype" w:hAnsi="Palatino Linotype" w:cs="Arial"/>
          <w:sz w:val="24"/>
          <w:szCs w:val="24"/>
        </w:rPr>
        <w:t>denominado</w:t>
      </w:r>
      <w:r w:rsidR="009C43B4">
        <w:rPr>
          <w:rFonts w:ascii="Palatino Linotype" w:hAnsi="Palatino Linotype" w:cs="Arial"/>
          <w:sz w:val="24"/>
          <w:szCs w:val="24"/>
        </w:rPr>
        <w:t xml:space="preserve"> actos consentidos, a</w:t>
      </w:r>
      <w:r w:rsidRPr="00546812">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546812">
        <w:rPr>
          <w:rFonts w:ascii="Palatino Linotype" w:hAnsi="Palatino Linotype" w:cs="Arial"/>
          <w:b/>
          <w:sz w:val="24"/>
          <w:szCs w:val="24"/>
        </w:rPr>
        <w:t>acudir a un profesionista del derecho</w:t>
      </w:r>
      <w:r w:rsidRPr="00546812">
        <w:rPr>
          <w:rFonts w:ascii="Palatino Linotype" w:hAnsi="Palatino Linotype" w:cs="Arial"/>
          <w:sz w:val="24"/>
          <w:szCs w:val="24"/>
        </w:rPr>
        <w:t xml:space="preserve"> para que le asista en la elaboración de su promoción; contrario a ello, nuestro sistema pretende asistirle </w:t>
      </w:r>
      <w:r w:rsidR="009C43B4">
        <w:rPr>
          <w:rFonts w:ascii="Palatino Linotype" w:hAnsi="Palatino Linotype" w:cs="Arial"/>
          <w:sz w:val="24"/>
          <w:szCs w:val="24"/>
        </w:rPr>
        <w:t>y facilitarle el procedimiento.</w:t>
      </w:r>
    </w:p>
    <w:p w:rsidR="009C43B4" w:rsidRDefault="009C43B4" w:rsidP="009C43B4">
      <w:pPr>
        <w:pStyle w:val="Prrafodelista"/>
        <w:spacing w:before="240" w:after="0" w:line="240" w:lineRule="auto"/>
        <w:ind w:left="360" w:right="49"/>
        <w:jc w:val="both"/>
        <w:rPr>
          <w:rFonts w:ascii="Palatino Linotype" w:hAnsi="Palatino Linotype" w:cs="Arial"/>
          <w:sz w:val="24"/>
          <w:szCs w:val="24"/>
        </w:rPr>
      </w:pPr>
    </w:p>
    <w:p w:rsidR="00546812" w:rsidRPr="00546812" w:rsidRDefault="009C43B4"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E</w:t>
      </w:r>
      <w:r w:rsidR="0046491C" w:rsidRPr="00546812">
        <w:rPr>
          <w:rFonts w:ascii="Palatino Linotype" w:hAnsi="Palatino Linotype" w:cs="Arial"/>
          <w:sz w:val="24"/>
          <w:szCs w:val="24"/>
        </w:rPr>
        <w:t>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DF7B12" w:rsidRDefault="00546812" w:rsidP="00DF7B12">
      <w:pPr>
        <w:pStyle w:val="Prrafodelista"/>
        <w:spacing w:before="240" w:after="0" w:line="240" w:lineRule="auto"/>
        <w:ind w:left="360" w:right="49"/>
        <w:jc w:val="both"/>
        <w:rPr>
          <w:rFonts w:ascii="Palatino Linotype" w:hAnsi="Palatino Linotype" w:cs="Arial"/>
          <w:sz w:val="16"/>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lastRenderedPageBreak/>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546812">
        <w:rPr>
          <w:rStyle w:val="Refdenotaalpie"/>
          <w:rFonts w:ascii="Palatino Linotype" w:hAnsi="Palatino Linotype" w:cs="Arial"/>
          <w:sz w:val="24"/>
          <w:szCs w:val="24"/>
        </w:rPr>
        <w:footnoteReference w:id="1"/>
      </w:r>
      <w:r w:rsidRPr="00546812">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546812">
        <w:rPr>
          <w:rStyle w:val="Refdenotaalpie"/>
          <w:rFonts w:ascii="Palatino Linotype" w:hAnsi="Palatino Linotype" w:cs="Arial"/>
          <w:sz w:val="24"/>
          <w:szCs w:val="24"/>
        </w:rPr>
        <w:footnoteReference w:id="2"/>
      </w:r>
      <w:r w:rsidRPr="00546812">
        <w:rPr>
          <w:rFonts w:ascii="Palatino Linotype" w:hAnsi="Palatino Linotype" w:cs="Arial"/>
          <w:sz w:val="24"/>
          <w:szCs w:val="24"/>
        </w:rPr>
        <w:t xml:space="preserve"> </w:t>
      </w:r>
    </w:p>
    <w:p w:rsidR="0097582C" w:rsidRPr="00546812" w:rsidRDefault="0097582C" w:rsidP="00DF7B12">
      <w:pPr>
        <w:pStyle w:val="Prrafodelista"/>
        <w:spacing w:before="240" w:after="0" w:line="24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546812" w:rsidRDefault="00546812" w:rsidP="00DF7B12">
      <w:pPr>
        <w:pStyle w:val="Prrafodelista"/>
        <w:spacing w:line="240" w:lineRule="auto"/>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w:t>
      </w:r>
      <w:r w:rsidRPr="00546812">
        <w:rPr>
          <w:rFonts w:ascii="Palatino Linotype" w:hAnsi="Palatino Linotype" w:cs="Arial"/>
          <w:sz w:val="24"/>
          <w:szCs w:val="24"/>
        </w:rPr>
        <w:lastRenderedPageBreak/>
        <w:t xml:space="preserve">constitucional y convencionalmente reconocido. Por tanto, al tratar directamente con un derecho humano, todas las autoridades nos vemos impuestas del supremo mandato constitucional consistente en la promoción, respeto, protección y </w:t>
      </w:r>
      <w:r w:rsidRPr="00546812">
        <w:rPr>
          <w:rFonts w:ascii="Palatino Linotype" w:hAnsi="Palatino Linotype" w:cs="Arial"/>
          <w:b/>
          <w:sz w:val="24"/>
          <w:szCs w:val="24"/>
        </w:rPr>
        <w:t>garantía de los derechos humanos</w:t>
      </w:r>
      <w:r w:rsidRPr="00546812">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546812" w:rsidRDefault="00546812" w:rsidP="00DF7B12">
      <w:pPr>
        <w:pStyle w:val="Prrafodelista"/>
        <w:spacing w:line="240" w:lineRule="auto"/>
        <w:rPr>
          <w:rFonts w:ascii="Palatino Linotype" w:hAnsi="Palatino Linotype" w:cs="Arial"/>
          <w:sz w:val="24"/>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 este sentido el Dr. Miguel Carbonell ha señalado que:</w:t>
      </w:r>
    </w:p>
    <w:p w:rsidR="0046491C" w:rsidRDefault="0046491C" w:rsidP="00546812">
      <w:pPr>
        <w:pStyle w:val="Prrafodelista"/>
        <w:spacing w:after="0" w:line="360" w:lineRule="auto"/>
        <w:ind w:left="709" w:right="474"/>
        <w:jc w:val="both"/>
        <w:rPr>
          <w:rFonts w:ascii="Palatino Linotype" w:hAnsi="Palatino Linotype" w:cs="Arial"/>
          <w:sz w:val="24"/>
          <w:szCs w:val="24"/>
        </w:rPr>
      </w:pPr>
      <w:r w:rsidRPr="00546812">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546812">
        <w:rPr>
          <w:rFonts w:ascii="Palatino Linotype" w:hAnsi="Palatino Linotype" w:cs="Arial"/>
          <w:b/>
          <w:sz w:val="24"/>
          <w:szCs w:val="24"/>
        </w:rPr>
        <w:t>considerando que algún nivel de gobierno tenga obligaciones reforzadas hacia ciertos derechos.</w:t>
      </w:r>
      <w:r w:rsidRPr="00546812">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546812">
        <w:rPr>
          <w:rFonts w:ascii="Palatino Linotype" w:hAnsi="Palatino Linotype" w:cs="Arial"/>
          <w:b/>
          <w:sz w:val="24"/>
          <w:szCs w:val="24"/>
        </w:rPr>
        <w:t>tomar todas las medidas que sean pertinentes para tutelar y hacer eficaz un derecho</w:t>
      </w:r>
      <w:r w:rsidRPr="00546812">
        <w:rPr>
          <w:rFonts w:ascii="Palatino Linotype" w:hAnsi="Palatino Linotype" w:cs="Arial"/>
          <w:sz w:val="24"/>
          <w:szCs w:val="24"/>
        </w:rPr>
        <w:t>”.</w:t>
      </w:r>
      <w:r w:rsidRPr="00546812">
        <w:rPr>
          <w:rStyle w:val="Refdenotaalpie"/>
          <w:rFonts w:ascii="Palatino Linotype" w:hAnsi="Palatino Linotype" w:cs="Arial"/>
          <w:sz w:val="24"/>
          <w:szCs w:val="24"/>
        </w:rPr>
        <w:footnoteReference w:id="3"/>
      </w:r>
    </w:p>
    <w:p w:rsidR="00300B98" w:rsidRPr="00546812" w:rsidRDefault="00300B98" w:rsidP="00DF7B12">
      <w:pPr>
        <w:pStyle w:val="Prrafodelista"/>
        <w:spacing w:after="0" w:line="240" w:lineRule="auto"/>
        <w:ind w:left="709" w:right="474"/>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 Por lo que restringir el derecho de acceso a la información pública del particular</w:t>
      </w:r>
      <w:r w:rsidRPr="00546812">
        <w:rPr>
          <w:rFonts w:ascii="Palatino Linotype" w:hAnsi="Palatino Linotype" w:cs="Arial"/>
          <w:b/>
          <w:sz w:val="24"/>
          <w:szCs w:val="24"/>
        </w:rPr>
        <w:t xml:space="preserve"> </w:t>
      </w:r>
      <w:r w:rsidRPr="00546812">
        <w:rPr>
          <w:rFonts w:ascii="Palatino Linotype" w:hAnsi="Palatino Linotype" w:cs="Arial"/>
          <w:sz w:val="24"/>
          <w:szCs w:val="24"/>
        </w:rPr>
        <w:t xml:space="preserve">suponiendo en el peor de los casos, que en efecto, no se hubiera ordenado </w:t>
      </w:r>
      <w:r w:rsidR="0093458D">
        <w:rPr>
          <w:rFonts w:ascii="Palatino Linotype" w:hAnsi="Palatino Linotype" w:cs="Arial"/>
          <w:sz w:val="24"/>
          <w:szCs w:val="24"/>
        </w:rPr>
        <w:t xml:space="preserve">el acuerdo de clasificación </w:t>
      </w:r>
      <w:r w:rsidRPr="00546812">
        <w:rPr>
          <w:rFonts w:ascii="Palatino Linotype" w:hAnsi="Palatino Linotype" w:cs="Arial"/>
          <w:sz w:val="24"/>
          <w:szCs w:val="24"/>
        </w:rPr>
        <w:t>por no impugnar la falta de</w:t>
      </w:r>
      <w:r w:rsidR="00CF544D">
        <w:rPr>
          <w:rFonts w:ascii="Palatino Linotype" w:hAnsi="Palatino Linotype" w:cs="Arial"/>
          <w:sz w:val="24"/>
          <w:szCs w:val="24"/>
        </w:rPr>
        <w:t xml:space="preserve"> atención de un punto en específico solicitado</w:t>
      </w:r>
      <w:r w:rsidRPr="00546812">
        <w:rPr>
          <w:rFonts w:ascii="Palatino Linotype" w:hAnsi="Palatino Linotype" w:cs="Arial"/>
          <w:sz w:val="24"/>
          <w:szCs w:val="24"/>
        </w:rPr>
        <w:t xml:space="preserve">, debilita la efectividad de esta garantía al hacerla depender </w:t>
      </w:r>
      <w:r w:rsidRPr="00546812">
        <w:rPr>
          <w:rFonts w:ascii="Palatino Linotype" w:hAnsi="Palatino Linotype" w:cs="Arial"/>
          <w:sz w:val="24"/>
          <w:szCs w:val="24"/>
        </w:rPr>
        <w:lastRenderedPageBreak/>
        <w:t>de un hecho desconocido y, por lo tanto de dudosa acreditación, además que se insiste fue en todo momento innecesario señalar el argumento de actos consentidos.</w:t>
      </w:r>
    </w:p>
    <w:p w:rsidR="00546812" w:rsidRPr="00546812" w:rsidRDefault="00546812" w:rsidP="00DF7B12">
      <w:pPr>
        <w:pStyle w:val="Prrafodelista"/>
        <w:spacing w:before="240" w:after="0" w:line="240" w:lineRule="auto"/>
        <w:ind w:left="360" w:right="49"/>
        <w:jc w:val="both"/>
        <w:rPr>
          <w:rFonts w:ascii="Palatino Linotype" w:hAnsi="Palatino Linotype" w:cs="Arial"/>
          <w:sz w:val="24"/>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Pr>
          <w:rFonts w:ascii="Palatino Linotype" w:hAnsi="Palatino Linotype" w:cs="Arial"/>
          <w:sz w:val="24"/>
          <w:szCs w:val="24"/>
        </w:rPr>
        <w:t>:</w:t>
      </w:r>
    </w:p>
    <w:p w:rsidR="00546812" w:rsidRDefault="0046491C" w:rsidP="001455FC">
      <w:pPr>
        <w:pStyle w:val="Prrafodelista"/>
        <w:spacing w:before="240" w:after="0" w:line="360" w:lineRule="auto"/>
        <w:ind w:left="851" w:right="1325"/>
        <w:jc w:val="both"/>
        <w:rPr>
          <w:rFonts w:ascii="Palatino Linotype" w:hAnsi="Palatino Linotype" w:cs="Arial"/>
          <w:sz w:val="24"/>
          <w:szCs w:val="24"/>
        </w:rPr>
      </w:pPr>
      <w:r w:rsidRPr="00546812">
        <w:rPr>
          <w:rFonts w:ascii="Palatino Linotype" w:hAnsi="Palatino Linotype" w:cs="Arial"/>
          <w:sz w:val="24"/>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546812" w:rsidRDefault="00DA52E0" w:rsidP="00DF7B12">
      <w:pPr>
        <w:pStyle w:val="Prrafodelista"/>
        <w:spacing w:before="240" w:after="0" w:line="24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Cotta que “la obligatoriedad de la </w:t>
      </w:r>
      <w:r w:rsidRPr="00546812">
        <w:rPr>
          <w:rFonts w:ascii="Palatino Linotype" w:hAnsi="Palatino Linotype" w:cs="Arial"/>
          <w:sz w:val="24"/>
          <w:szCs w:val="24"/>
        </w:rPr>
        <w:lastRenderedPageBreak/>
        <w:t>norma depende de la validez de su justificación, que es, por consiguiente el fundamento de aquella”,</w:t>
      </w:r>
      <w:r w:rsidRPr="00546812">
        <w:rPr>
          <w:rStyle w:val="Refdenotaalpie"/>
          <w:rFonts w:ascii="Palatino Linotype" w:hAnsi="Palatino Linotype" w:cs="Arial"/>
          <w:sz w:val="24"/>
          <w:szCs w:val="24"/>
        </w:rPr>
        <w:footnoteReference w:id="4"/>
      </w:r>
      <w:r w:rsidRPr="00546812">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546812" w:rsidRDefault="00546812" w:rsidP="00DF7B12">
      <w:pPr>
        <w:pStyle w:val="Prrafodelista"/>
        <w:spacing w:line="240" w:lineRule="auto"/>
        <w:rPr>
          <w:rFonts w:ascii="Palatino Linotype" w:hAnsi="Palatino Linotype" w:cs="Arial"/>
          <w:sz w:val="24"/>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Respetar;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Proteger;</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Garantizar; y,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Promover los derechos humanos, </w:t>
      </w:r>
    </w:p>
    <w:p w:rsidR="001455FC" w:rsidRPr="001455FC" w:rsidRDefault="001455FC" w:rsidP="001455FC">
      <w:pPr>
        <w:pStyle w:val="Prrafodelista"/>
        <w:spacing w:line="240" w:lineRule="auto"/>
        <w:rPr>
          <w:rFonts w:ascii="Palatino Linotype" w:hAnsi="Palatino Linotype" w:cs="Arial"/>
          <w:sz w:val="24"/>
          <w:szCs w:val="24"/>
        </w:rPr>
      </w:pPr>
    </w:p>
    <w:p w:rsidR="001455FC" w:rsidRDefault="001455FC"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D</w:t>
      </w:r>
      <w:r w:rsidR="0046491C" w:rsidRPr="00546812">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546812">
        <w:rPr>
          <w:rFonts w:ascii="Palatino Linotype" w:hAnsi="Palatino Linotype" w:cs="Arial"/>
          <w:b/>
          <w:sz w:val="24"/>
          <w:szCs w:val="24"/>
        </w:rPr>
        <w:t xml:space="preserve">el deber que tienen los órganos del Estado, dentro del margen de sus atribuciones, de prevenir violaciones a los derechos </w:t>
      </w:r>
      <w:r w:rsidR="0046491C" w:rsidRPr="00546812">
        <w:rPr>
          <w:rFonts w:ascii="Palatino Linotype" w:hAnsi="Palatino Linotype" w:cs="Arial"/>
          <w:b/>
          <w:sz w:val="24"/>
          <w:szCs w:val="24"/>
        </w:rPr>
        <w:lastRenderedPageBreak/>
        <w:t>fundamentales,</w:t>
      </w:r>
      <w:r w:rsidR="0046491C" w:rsidRPr="00546812">
        <w:rPr>
          <w:rFonts w:ascii="Palatino Linotype" w:hAnsi="Palatino Linotype" w:cs="Arial"/>
          <w:sz w:val="24"/>
          <w:szCs w:val="24"/>
        </w:rPr>
        <w:t xml:space="preserve"> ya sea que provengan de una autoridad o de algún particular y, por ello, </w:t>
      </w:r>
      <w:r w:rsidR="0046491C" w:rsidRPr="00546812">
        <w:rPr>
          <w:rFonts w:ascii="Palatino Linotype" w:hAnsi="Palatino Linotype" w:cs="Arial"/>
          <w:b/>
          <w:sz w:val="24"/>
          <w:szCs w:val="24"/>
        </w:rPr>
        <w:t>debe contarse</w:t>
      </w:r>
      <w:r w:rsidR="0046491C" w:rsidRPr="00546812">
        <w:rPr>
          <w:rFonts w:ascii="Palatino Linotype" w:hAnsi="Palatino Linotype" w:cs="Arial"/>
          <w:sz w:val="24"/>
          <w:szCs w:val="24"/>
        </w:rPr>
        <w:t xml:space="preserve"> tanto </w:t>
      </w:r>
      <w:r w:rsidR="0046491C" w:rsidRPr="00546812">
        <w:rPr>
          <w:rFonts w:ascii="Palatino Linotype" w:hAnsi="Palatino Linotype" w:cs="Arial"/>
          <w:b/>
          <w:sz w:val="24"/>
          <w:szCs w:val="24"/>
        </w:rPr>
        <w:t>con mecanismos</w:t>
      </w:r>
      <w:r w:rsidR="0046491C" w:rsidRPr="00546812">
        <w:rPr>
          <w:rFonts w:ascii="Palatino Linotype" w:hAnsi="Palatino Linotype" w:cs="Arial"/>
          <w:sz w:val="24"/>
          <w:szCs w:val="24"/>
        </w:rPr>
        <w:t xml:space="preserve"> de vigilancia como </w:t>
      </w:r>
      <w:r w:rsidR="0046491C" w:rsidRPr="00546812">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546812">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Default="001455FC" w:rsidP="001455FC">
      <w:pPr>
        <w:pStyle w:val="Prrafodelista"/>
        <w:spacing w:before="240" w:after="0" w:line="36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546812" w:rsidRPr="00546812" w:rsidRDefault="00546812" w:rsidP="00DF7B12">
      <w:pPr>
        <w:pStyle w:val="Prrafodelista"/>
        <w:spacing w:before="240" w:after="0" w:line="240" w:lineRule="auto"/>
        <w:ind w:left="360" w:right="49"/>
        <w:jc w:val="both"/>
        <w:rPr>
          <w:rFonts w:ascii="Palatino Linotype" w:hAnsi="Palatino Linotype" w:cs="Arial"/>
          <w:sz w:val="24"/>
          <w:szCs w:val="24"/>
        </w:rPr>
      </w:pPr>
    </w:p>
    <w:p w:rsidR="00A80A1A"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w:t>
      </w:r>
      <w:r w:rsidRPr="00546812">
        <w:rPr>
          <w:rFonts w:ascii="Palatino Linotype" w:hAnsi="Palatino Linotype" w:cs="Arial"/>
          <w:sz w:val="24"/>
          <w:szCs w:val="24"/>
        </w:rPr>
        <w:lastRenderedPageBreak/>
        <w:t xml:space="preserve">por parte de los </w:t>
      </w:r>
      <w:r w:rsidRPr="00546812">
        <w:rPr>
          <w:rFonts w:ascii="Palatino Linotype" w:hAnsi="Palatino Linotype" w:cs="Arial"/>
          <w:b/>
          <w:sz w:val="24"/>
          <w:szCs w:val="24"/>
        </w:rPr>
        <w:t>SUJETOS OBLIGADOS</w:t>
      </w:r>
      <w:r w:rsidRPr="00546812">
        <w:rPr>
          <w:rFonts w:ascii="Palatino Linotype" w:hAnsi="Palatino Linotype" w:cs="Arial"/>
          <w:sz w:val="24"/>
          <w:szCs w:val="24"/>
        </w:rPr>
        <w:t xml:space="preserve"> sea evidente la falta de alguno de ellos, en ese tenor los particulares se ven impedidos, en los hechos, a acceder a una información que fue solicitada. </w:t>
      </w:r>
    </w:p>
    <w:p w:rsidR="00A80A1A" w:rsidRPr="00A80A1A" w:rsidRDefault="00A80A1A" w:rsidP="00DF7B12">
      <w:pPr>
        <w:pStyle w:val="Prrafodelista"/>
        <w:spacing w:line="240" w:lineRule="auto"/>
        <w:rPr>
          <w:rFonts w:ascii="Palatino Linotype" w:hAnsi="Palatino Linotype" w:cs="Arial"/>
          <w:sz w:val="24"/>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546812" w:rsidRDefault="00546812" w:rsidP="00DF7B12">
      <w:pPr>
        <w:pStyle w:val="Prrafodelista"/>
        <w:spacing w:line="240" w:lineRule="auto"/>
        <w:rPr>
          <w:rFonts w:ascii="Palatino Linotype" w:hAnsi="Palatino Linotype" w:cs="Arial"/>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072966" w:rsidRDefault="0001046D" w:rsidP="00DF7B12">
      <w:pPr>
        <w:pStyle w:val="Prrafodelista"/>
        <w:spacing w:after="0" w:line="240" w:lineRule="auto"/>
        <w:ind w:left="284"/>
        <w:jc w:val="both"/>
        <w:rPr>
          <w:rFonts w:ascii="Palatino Linotype" w:hAnsi="Palatino Linotype" w:cs="Arial"/>
          <w:sz w:val="24"/>
          <w:szCs w:val="24"/>
        </w:rPr>
      </w:pPr>
    </w:p>
    <w:p w:rsidR="0046491C" w:rsidRPr="001455FC" w:rsidRDefault="0046491C" w:rsidP="007A52A8">
      <w:pPr>
        <w:spacing w:after="0" w:line="240" w:lineRule="auto"/>
        <w:ind w:left="1134" w:right="618"/>
        <w:jc w:val="both"/>
        <w:rPr>
          <w:rFonts w:ascii="Palatino Linotype" w:hAnsi="Palatino Linotype" w:cs="Arial"/>
          <w:i/>
          <w:sz w:val="24"/>
        </w:rPr>
      </w:pPr>
      <w:r w:rsidRPr="001455FC">
        <w:rPr>
          <w:rFonts w:ascii="Palatino Linotype" w:hAnsi="Palatino Linotype" w:cs="Arial"/>
          <w:i/>
          <w:sz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w:t>
      </w:r>
      <w:r w:rsidRPr="001455FC">
        <w:rPr>
          <w:rFonts w:ascii="Palatino Linotype" w:hAnsi="Palatino Linotype" w:cs="Arial"/>
          <w:i/>
          <w:sz w:val="24"/>
        </w:rPr>
        <w:lastRenderedPageBreak/>
        <w:t>heterogeneidad y ocasionalidad de las presiones sociales que se ejercen sobre el mismo”.</w:t>
      </w:r>
      <w:r w:rsidRPr="001455FC">
        <w:rPr>
          <w:rStyle w:val="Refdenotaalpie"/>
          <w:rFonts w:ascii="Palatino Linotype" w:hAnsi="Palatino Linotype" w:cs="Arial"/>
          <w:i/>
          <w:sz w:val="24"/>
        </w:rPr>
        <w:footnoteReference w:id="5"/>
      </w:r>
    </w:p>
    <w:p w:rsidR="0046491C" w:rsidRPr="00072966"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DF7B12">
      <w:pPr>
        <w:pStyle w:val="Prrafodelista"/>
        <w:spacing w:after="0" w:line="240" w:lineRule="auto"/>
        <w:ind w:left="426"/>
        <w:jc w:val="both"/>
        <w:rPr>
          <w:rFonts w:ascii="Palatino Linotype" w:hAnsi="Palatino Linotype" w:cs="Arial"/>
          <w:sz w:val="24"/>
          <w:szCs w:val="24"/>
        </w:rPr>
      </w:pPr>
    </w:p>
    <w:p w:rsidR="00DE24C8" w:rsidRDefault="0046491C" w:rsidP="00F841A1">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DE24C8" w:rsidRPr="00DE24C8" w:rsidRDefault="00DE24C8" w:rsidP="00DF7B12">
      <w:pPr>
        <w:pStyle w:val="Prrafodelista"/>
        <w:spacing w:before="240" w:after="0" w:line="240" w:lineRule="auto"/>
        <w:ind w:left="360" w:right="49"/>
        <w:jc w:val="both"/>
        <w:rPr>
          <w:rFonts w:ascii="Palatino Linotype" w:hAnsi="Palatino Linotype" w:cs="Arial"/>
          <w:sz w:val="24"/>
          <w:szCs w:val="24"/>
        </w:rPr>
      </w:pPr>
    </w:p>
    <w:p w:rsidR="00DA52E0" w:rsidRPr="00A80A1A" w:rsidRDefault="0046491C" w:rsidP="00A80A1A">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A52E0" w:rsidRDefault="00DA52E0" w:rsidP="00DA52E0">
      <w:pPr>
        <w:spacing w:after="0" w:line="360" w:lineRule="auto"/>
        <w:ind w:left="720"/>
        <w:contextualSpacing/>
        <w:jc w:val="both"/>
        <w:rPr>
          <w:rFonts w:ascii="Palatino Linotype" w:hAnsi="Palatino Linotype" w:cs="Arial"/>
          <w:color w:val="000000" w:themeColor="text1"/>
          <w:sz w:val="24"/>
          <w:szCs w:val="24"/>
        </w:rPr>
      </w:pPr>
    </w:p>
    <w:p w:rsidR="001455FC" w:rsidRDefault="001455FC" w:rsidP="00DA52E0">
      <w:pPr>
        <w:spacing w:after="0" w:line="360" w:lineRule="auto"/>
        <w:ind w:left="720"/>
        <w:contextualSpacing/>
        <w:jc w:val="both"/>
        <w:rPr>
          <w:rFonts w:ascii="Palatino Linotype" w:hAnsi="Palatino Linotype" w:cs="Arial"/>
          <w:color w:val="000000" w:themeColor="text1"/>
          <w:sz w:val="24"/>
          <w:szCs w:val="24"/>
        </w:rPr>
      </w:pPr>
    </w:p>
    <w:p w:rsidR="00DA52E0" w:rsidRDefault="00DA52E0" w:rsidP="00DA52E0">
      <w:pPr>
        <w:spacing w:after="0" w:line="360" w:lineRule="auto"/>
        <w:contextualSpacing/>
        <w:jc w:val="both"/>
        <w:rPr>
          <w:rFonts w:ascii="Palatino Linotype" w:hAnsi="Palatino Linotype" w:cs="Arial"/>
          <w:color w:val="000000" w:themeColor="text1"/>
          <w:szCs w:val="24"/>
        </w:rPr>
      </w:pPr>
    </w:p>
    <w:p w:rsidR="00DA52E0" w:rsidRPr="006B5B33" w:rsidRDefault="00DA52E0" w:rsidP="00DA52E0">
      <w:pPr>
        <w:spacing w:after="0" w:line="360" w:lineRule="auto"/>
        <w:contextualSpacing/>
        <w:jc w:val="both"/>
        <w:rPr>
          <w:rFonts w:ascii="Palatino Linotype" w:hAnsi="Palatino Linotype" w:cs="Arial"/>
          <w:color w:val="000000" w:themeColor="text1"/>
          <w:szCs w:val="24"/>
        </w:rPr>
      </w:pPr>
    </w:p>
    <w:p w:rsidR="00DA52E0" w:rsidRPr="004F0E9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DA52E0" w:rsidRDefault="00DA52E0" w:rsidP="00DA52E0">
      <w:pPr>
        <w:spacing w:line="360" w:lineRule="auto"/>
        <w:jc w:val="center"/>
        <w:rPr>
          <w:rFonts w:ascii="Palatino Linotype" w:eastAsia="Calibri" w:hAnsi="Palatino Linotype" w:cs="Arial"/>
          <w:b/>
          <w:color w:val="000000" w:themeColor="text1"/>
          <w:sz w:val="24"/>
          <w:szCs w:val="24"/>
        </w:rPr>
      </w:pPr>
    </w:p>
    <w:p w:rsidR="001455FC" w:rsidRDefault="001455FC" w:rsidP="00DA52E0">
      <w:pPr>
        <w:spacing w:line="360" w:lineRule="auto"/>
        <w:jc w:val="center"/>
        <w:rPr>
          <w:rFonts w:ascii="Palatino Linotype" w:eastAsia="Calibri" w:hAnsi="Palatino Linotype" w:cs="Arial"/>
          <w:b/>
          <w:color w:val="000000" w:themeColor="text1"/>
          <w:sz w:val="24"/>
          <w:szCs w:val="24"/>
        </w:rPr>
      </w:pPr>
    </w:p>
    <w:p w:rsidR="001455FC" w:rsidRDefault="001455FC" w:rsidP="00DA52E0">
      <w:pPr>
        <w:spacing w:line="360" w:lineRule="auto"/>
        <w:jc w:val="center"/>
        <w:rPr>
          <w:rFonts w:ascii="Palatino Linotype" w:eastAsia="Calibri" w:hAnsi="Palatino Linotype" w:cs="Arial"/>
          <w:b/>
          <w:color w:val="000000" w:themeColor="text1"/>
          <w:sz w:val="24"/>
          <w:szCs w:val="24"/>
        </w:rPr>
      </w:pPr>
    </w:p>
    <w:p w:rsidR="001455FC" w:rsidRDefault="001455FC" w:rsidP="00DA52E0">
      <w:pPr>
        <w:spacing w:line="360" w:lineRule="auto"/>
        <w:jc w:val="center"/>
        <w:rPr>
          <w:rFonts w:ascii="Palatino Linotype" w:eastAsia="Calibri" w:hAnsi="Palatino Linotype" w:cs="Arial"/>
          <w:b/>
          <w:color w:val="000000" w:themeColor="text1"/>
          <w:sz w:val="24"/>
          <w:szCs w:val="24"/>
        </w:rPr>
      </w:pPr>
    </w:p>
    <w:p w:rsidR="00DA52E0" w:rsidRPr="00A640C7" w:rsidRDefault="00DA52E0" w:rsidP="00DA52E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JGLH/MAG</w:t>
      </w:r>
    </w:p>
    <w:sectPr w:rsidR="00DA52E0" w:rsidRPr="00A640C7" w:rsidSect="00DA55B8">
      <w:headerReference w:type="even" r:id="rId9"/>
      <w:headerReference w:type="default" r:id="rId10"/>
      <w:footerReference w:type="default" r:id="rId11"/>
      <w:head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40" w:rsidRDefault="00893540" w:rsidP="00E706DA">
      <w:pPr>
        <w:spacing w:after="0" w:line="240" w:lineRule="auto"/>
      </w:pPr>
      <w:r>
        <w:separator/>
      </w:r>
    </w:p>
  </w:endnote>
  <w:endnote w:type="continuationSeparator" w:id="0">
    <w:p w:rsidR="00893540" w:rsidRDefault="00893540"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F3553">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F3553">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4F35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40" w:rsidRDefault="00893540" w:rsidP="00E706DA">
      <w:pPr>
        <w:spacing w:after="0" w:line="240" w:lineRule="auto"/>
      </w:pPr>
      <w:r>
        <w:separator/>
      </w:r>
    </w:p>
  </w:footnote>
  <w:footnote w:type="continuationSeparator" w:id="0">
    <w:p w:rsidR="00893540" w:rsidRDefault="00893540"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F35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F35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F35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F35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
  </w:num>
  <w:num w:numId="3">
    <w:abstractNumId w:val="10"/>
  </w:num>
  <w:num w:numId="4">
    <w:abstractNumId w:val="13"/>
  </w:num>
  <w:num w:numId="5">
    <w:abstractNumId w:val="17"/>
  </w:num>
  <w:num w:numId="6">
    <w:abstractNumId w:val="19"/>
  </w:num>
  <w:num w:numId="7">
    <w:abstractNumId w:val="25"/>
  </w:num>
  <w:num w:numId="8">
    <w:abstractNumId w:val="24"/>
  </w:num>
  <w:num w:numId="9">
    <w:abstractNumId w:val="28"/>
  </w:num>
  <w:num w:numId="10">
    <w:abstractNumId w:val="3"/>
  </w:num>
  <w:num w:numId="11">
    <w:abstractNumId w:val="27"/>
  </w:num>
  <w:num w:numId="12">
    <w:abstractNumId w:val="11"/>
  </w:num>
  <w:num w:numId="13">
    <w:abstractNumId w:val="5"/>
  </w:num>
  <w:num w:numId="14">
    <w:abstractNumId w:val="9"/>
  </w:num>
  <w:num w:numId="15">
    <w:abstractNumId w:val="20"/>
  </w:num>
  <w:num w:numId="16">
    <w:abstractNumId w:val="0"/>
  </w:num>
  <w:num w:numId="17">
    <w:abstractNumId w:val="4"/>
  </w:num>
  <w:num w:numId="18">
    <w:abstractNumId w:val="30"/>
  </w:num>
  <w:num w:numId="19">
    <w:abstractNumId w:val="7"/>
  </w:num>
  <w:num w:numId="20">
    <w:abstractNumId w:val="23"/>
  </w:num>
  <w:num w:numId="21">
    <w:abstractNumId w:val="16"/>
  </w:num>
  <w:num w:numId="22">
    <w:abstractNumId w:val="15"/>
  </w:num>
  <w:num w:numId="23">
    <w:abstractNumId w:val="6"/>
  </w:num>
  <w:num w:numId="24">
    <w:abstractNumId w:val="14"/>
  </w:num>
  <w:num w:numId="25">
    <w:abstractNumId w:val="26"/>
  </w:num>
  <w:num w:numId="26">
    <w:abstractNumId w:val="21"/>
  </w:num>
  <w:num w:numId="27">
    <w:abstractNumId w:val="1"/>
  </w:num>
  <w:num w:numId="28">
    <w:abstractNumId w:val="29"/>
  </w:num>
  <w:num w:numId="29">
    <w:abstractNumId w:val="12"/>
  </w:num>
  <w:num w:numId="30">
    <w:abstractNumId w:val="2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6605E"/>
    <w:rsid w:val="00072966"/>
    <w:rsid w:val="00073F0D"/>
    <w:rsid w:val="000810AB"/>
    <w:rsid w:val="000951B4"/>
    <w:rsid w:val="000A3369"/>
    <w:rsid w:val="000A77B5"/>
    <w:rsid w:val="000A7B66"/>
    <w:rsid w:val="000B2003"/>
    <w:rsid w:val="000B7C6E"/>
    <w:rsid w:val="000D7900"/>
    <w:rsid w:val="000F6CBB"/>
    <w:rsid w:val="00122625"/>
    <w:rsid w:val="00143343"/>
    <w:rsid w:val="001455FC"/>
    <w:rsid w:val="0015651D"/>
    <w:rsid w:val="00164F1E"/>
    <w:rsid w:val="001923C0"/>
    <w:rsid w:val="00194B6A"/>
    <w:rsid w:val="001B664C"/>
    <w:rsid w:val="001D3F34"/>
    <w:rsid w:val="0020315F"/>
    <w:rsid w:val="002036ED"/>
    <w:rsid w:val="00225026"/>
    <w:rsid w:val="002372DA"/>
    <w:rsid w:val="00260D6C"/>
    <w:rsid w:val="002620E9"/>
    <w:rsid w:val="002624B2"/>
    <w:rsid w:val="002779B4"/>
    <w:rsid w:val="00281310"/>
    <w:rsid w:val="002C0734"/>
    <w:rsid w:val="002C1F75"/>
    <w:rsid w:val="002F000B"/>
    <w:rsid w:val="00300B98"/>
    <w:rsid w:val="00346DBD"/>
    <w:rsid w:val="00367E00"/>
    <w:rsid w:val="003705BB"/>
    <w:rsid w:val="003747A5"/>
    <w:rsid w:val="003C7100"/>
    <w:rsid w:val="003C7244"/>
    <w:rsid w:val="003D7B9E"/>
    <w:rsid w:val="0040354A"/>
    <w:rsid w:val="00412952"/>
    <w:rsid w:val="0042345D"/>
    <w:rsid w:val="00424DE3"/>
    <w:rsid w:val="00444048"/>
    <w:rsid w:val="0046491C"/>
    <w:rsid w:val="004802BA"/>
    <w:rsid w:val="0048490F"/>
    <w:rsid w:val="0049058E"/>
    <w:rsid w:val="004F3553"/>
    <w:rsid w:val="00532410"/>
    <w:rsid w:val="00546812"/>
    <w:rsid w:val="005527D5"/>
    <w:rsid w:val="00567EC1"/>
    <w:rsid w:val="00575478"/>
    <w:rsid w:val="00587A4C"/>
    <w:rsid w:val="005A15E9"/>
    <w:rsid w:val="005A3267"/>
    <w:rsid w:val="005D79D3"/>
    <w:rsid w:val="005F54C5"/>
    <w:rsid w:val="00616B05"/>
    <w:rsid w:val="006239A7"/>
    <w:rsid w:val="00634736"/>
    <w:rsid w:val="006728FD"/>
    <w:rsid w:val="0069498B"/>
    <w:rsid w:val="006D268B"/>
    <w:rsid w:val="00717C0D"/>
    <w:rsid w:val="0072058F"/>
    <w:rsid w:val="0072136B"/>
    <w:rsid w:val="007343BB"/>
    <w:rsid w:val="00746812"/>
    <w:rsid w:val="0076241F"/>
    <w:rsid w:val="00770016"/>
    <w:rsid w:val="007879C6"/>
    <w:rsid w:val="00790E37"/>
    <w:rsid w:val="007A378A"/>
    <w:rsid w:val="007A52A8"/>
    <w:rsid w:val="007A7FAD"/>
    <w:rsid w:val="007E3EA9"/>
    <w:rsid w:val="00814A43"/>
    <w:rsid w:val="00814E97"/>
    <w:rsid w:val="008361CA"/>
    <w:rsid w:val="008370F1"/>
    <w:rsid w:val="00850252"/>
    <w:rsid w:val="00856FA1"/>
    <w:rsid w:val="00872522"/>
    <w:rsid w:val="008822B3"/>
    <w:rsid w:val="008911CF"/>
    <w:rsid w:val="008920A8"/>
    <w:rsid w:val="00893540"/>
    <w:rsid w:val="008A3D2D"/>
    <w:rsid w:val="008B03B6"/>
    <w:rsid w:val="008D57F6"/>
    <w:rsid w:val="008E1DCC"/>
    <w:rsid w:val="008F3E81"/>
    <w:rsid w:val="00900E75"/>
    <w:rsid w:val="00902248"/>
    <w:rsid w:val="009156AC"/>
    <w:rsid w:val="0093177C"/>
    <w:rsid w:val="00933200"/>
    <w:rsid w:val="0093458D"/>
    <w:rsid w:val="00937D7D"/>
    <w:rsid w:val="0094239C"/>
    <w:rsid w:val="0095525C"/>
    <w:rsid w:val="0097582C"/>
    <w:rsid w:val="00987663"/>
    <w:rsid w:val="009C43B4"/>
    <w:rsid w:val="009C4EF6"/>
    <w:rsid w:val="00A07EF4"/>
    <w:rsid w:val="00A26E97"/>
    <w:rsid w:val="00A31633"/>
    <w:rsid w:val="00A54D9D"/>
    <w:rsid w:val="00A626F8"/>
    <w:rsid w:val="00A63717"/>
    <w:rsid w:val="00A80A1A"/>
    <w:rsid w:val="00AA49F3"/>
    <w:rsid w:val="00AA55B5"/>
    <w:rsid w:val="00AB023D"/>
    <w:rsid w:val="00AB126B"/>
    <w:rsid w:val="00AC381E"/>
    <w:rsid w:val="00AC430A"/>
    <w:rsid w:val="00AD16A9"/>
    <w:rsid w:val="00AE4797"/>
    <w:rsid w:val="00B120CA"/>
    <w:rsid w:val="00B56CFE"/>
    <w:rsid w:val="00BA3743"/>
    <w:rsid w:val="00BB22FB"/>
    <w:rsid w:val="00BB5E12"/>
    <w:rsid w:val="00BC7B0C"/>
    <w:rsid w:val="00BE555F"/>
    <w:rsid w:val="00BF3534"/>
    <w:rsid w:val="00BF43E0"/>
    <w:rsid w:val="00C33F49"/>
    <w:rsid w:val="00C371B0"/>
    <w:rsid w:val="00C40065"/>
    <w:rsid w:val="00C44341"/>
    <w:rsid w:val="00C7250F"/>
    <w:rsid w:val="00C74552"/>
    <w:rsid w:val="00CE0823"/>
    <w:rsid w:val="00CF544D"/>
    <w:rsid w:val="00D26D87"/>
    <w:rsid w:val="00D33AF9"/>
    <w:rsid w:val="00D363F7"/>
    <w:rsid w:val="00D42526"/>
    <w:rsid w:val="00D447F1"/>
    <w:rsid w:val="00D47536"/>
    <w:rsid w:val="00D72985"/>
    <w:rsid w:val="00D7456D"/>
    <w:rsid w:val="00D7508B"/>
    <w:rsid w:val="00DA52E0"/>
    <w:rsid w:val="00DC63EE"/>
    <w:rsid w:val="00DD7C56"/>
    <w:rsid w:val="00DE24C8"/>
    <w:rsid w:val="00DF6665"/>
    <w:rsid w:val="00DF6F7E"/>
    <w:rsid w:val="00DF7B12"/>
    <w:rsid w:val="00E26799"/>
    <w:rsid w:val="00E34F08"/>
    <w:rsid w:val="00E41EA1"/>
    <w:rsid w:val="00E61AB8"/>
    <w:rsid w:val="00E706DA"/>
    <w:rsid w:val="00E75DEF"/>
    <w:rsid w:val="00E83E93"/>
    <w:rsid w:val="00E90EB5"/>
    <w:rsid w:val="00E91F07"/>
    <w:rsid w:val="00E94FBF"/>
    <w:rsid w:val="00EA711B"/>
    <w:rsid w:val="00EC772B"/>
    <w:rsid w:val="00EF0C2D"/>
    <w:rsid w:val="00EF6D60"/>
    <w:rsid w:val="00F45161"/>
    <w:rsid w:val="00F46E78"/>
    <w:rsid w:val="00F5642A"/>
    <w:rsid w:val="00F841A1"/>
    <w:rsid w:val="00F857BC"/>
    <w:rsid w:val="00F86F9B"/>
    <w:rsid w:val="00FA59F5"/>
    <w:rsid w:val="00FC228B"/>
    <w:rsid w:val="00FC2309"/>
    <w:rsid w:val="00FD4693"/>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A6D6-1C2E-46FD-B645-4223A5EF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3122</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2018-10-01T22:48:00Z</cp:lastPrinted>
  <dcterms:created xsi:type="dcterms:W3CDTF">2018-10-29T19:13:00Z</dcterms:created>
  <dcterms:modified xsi:type="dcterms:W3CDTF">2018-10-29T19:13:00Z</dcterms:modified>
</cp:coreProperties>
</file>